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14" w:rsidRDefault="005E0414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E0414" w:rsidRPr="005B72D1" w:rsidRDefault="005E0414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E0414" w:rsidRPr="002B3A95" w:rsidRDefault="005E041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E0414" w:rsidRPr="002B3A95" w:rsidRDefault="005E041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E0414" w:rsidRPr="002B3A95" w:rsidRDefault="005E0414" w:rsidP="00990669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4B6B8D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E0414" w:rsidRPr="002B3A95" w:rsidRDefault="005E0414" w:rsidP="00990669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E0414" w:rsidRPr="002B3A95" w:rsidRDefault="005E0414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E0414" w:rsidRPr="002B3A95" w:rsidRDefault="005E0414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E0414" w:rsidRPr="002B3A95" w:rsidRDefault="005E0414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E0414" w:rsidRPr="002B3A95" w:rsidRDefault="005E0414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5E0414" w:rsidRPr="002B3A95" w:rsidTr="00990669">
        <w:tc>
          <w:tcPr>
            <w:tcW w:w="9778" w:type="dxa"/>
            <w:shd w:val="clear" w:color="auto" w:fill="E0E0E0"/>
          </w:tcPr>
          <w:p w:rsidR="005E0414" w:rsidRPr="002B3A95" w:rsidRDefault="005E0414" w:rsidP="00A678DE">
            <w:pPr>
              <w:pStyle w:val="Heading2"/>
            </w:pPr>
            <w:bookmarkStart w:id="0" w:name="_Toc118881945"/>
            <w:r w:rsidRPr="002B3A95">
              <w:t>ESTETISTA</w:t>
            </w:r>
            <w:bookmarkEnd w:id="0"/>
            <w:r w:rsidRPr="002B3A95">
              <w:t xml:space="preserve"> </w:t>
            </w:r>
          </w:p>
        </w:tc>
      </w:tr>
    </w:tbl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E0414" w:rsidRPr="002B3A95" w:rsidRDefault="005E0414" w:rsidP="00990669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5E0414" w:rsidRPr="002B3A95" w:rsidRDefault="005E0414" w:rsidP="00990669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E0414" w:rsidRPr="002B3A95" w:rsidRDefault="005E0414" w:rsidP="00990669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5E0414" w:rsidRPr="002B3A95" w:rsidRDefault="005E0414" w:rsidP="00990669">
      <w:pPr>
        <w:pStyle w:val="normal0"/>
        <w:spacing w:after="120"/>
        <w:ind w:right="-147"/>
        <w:rPr>
          <w:sz w:val="2"/>
          <w:szCs w:val="2"/>
        </w:rPr>
      </w:pPr>
      <w:r w:rsidRPr="002B3A95">
        <w:br w:type="page"/>
      </w:r>
    </w:p>
    <w:p w:rsidR="005E0414" w:rsidRPr="002B3A95" w:rsidRDefault="005E0414" w:rsidP="00990669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5E0414" w:rsidRPr="002B3A95" w:rsidRDefault="005E0414" w:rsidP="00990669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E0414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14" w:rsidRPr="002B3A95" w:rsidRDefault="005E0414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E0414" w:rsidRPr="002B3A95" w:rsidRDefault="005E0414" w:rsidP="0099066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E0414" w:rsidRPr="002B3A95" w:rsidTr="00990669">
        <w:tc>
          <w:tcPr>
            <w:tcW w:w="4881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E0414" w:rsidRPr="002B3A95" w:rsidTr="00990669">
        <w:trPr>
          <w:trHeight w:val="525"/>
        </w:trPr>
        <w:tc>
          <w:tcPr>
            <w:tcW w:w="4881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e strumenti per effettuare misurazioni e calcolare errori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Classificare materiali/prodotti sulla base delle loro proprietà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E0414" w:rsidRPr="002B3A95" w:rsidRDefault="005E0414" w:rsidP="00990669">
            <w:pPr>
              <w:pStyle w:val="normal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Concetto di calore, temperatura ed energia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anatomia, biologia e fisiologia cellulare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chimica e fisica legati alle applicazioni del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disinfezione e sterilizzazione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morfologiche, anatomiche e fisiologiche degli apparati del corpo umano di riferimento con attenzione ai trattamenti estetici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Igiene, principali agenti patogeni, prevenzione e profilassi delle malattie infettive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prodotti legati alle applicazioni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termologia e strumenti d’uso professionale in campo estetico</w:t>
            </w:r>
          </w:p>
        </w:tc>
      </w:tr>
    </w:tbl>
    <w:p w:rsidR="005E0414" w:rsidRPr="002B3A95" w:rsidRDefault="005E0414" w:rsidP="00990669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5E0414" w:rsidRPr="002B3A95" w:rsidRDefault="005E0414" w:rsidP="0099066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E0414" w:rsidRPr="002B3A95" w:rsidTr="00990669">
        <w:tc>
          <w:tcPr>
            <w:tcW w:w="4881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E0414" w:rsidRPr="002B3A95" w:rsidTr="00990669">
        <w:trPr>
          <w:trHeight w:val="525"/>
        </w:trPr>
        <w:tc>
          <w:tcPr>
            <w:tcW w:w="4881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il linguaggio scientifico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 tecniche e strumenti per effettuare misurazioni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Valutare l’attendibilità di una misura e gli errori che la caratterizzano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Svolgere le comuni operazioni di carattere contabile e fiscale 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Cittadinanza attiva e sviluppo sostenibile: approccio ecologico e deontologico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fondamentali e significato di ecosistema e sviluppo sostenibile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e loro origine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Metodi, tecniche e strumenti di trattamento e smaltimento dei rifiuti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Anatomia e fisiologia della ghiandola mammaria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Apparato tegumentario: caratteristiche, inestetismi, anomalie e patologie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Dermatologia e trattamenti estetici</w:t>
            </w:r>
            <w:r w:rsidRPr="002B3A95">
              <w:rPr>
                <w:rFonts w:ascii="Calibri" w:hAnsi="Calibri"/>
                <w:sz w:val="20"/>
                <w:szCs w:val="20"/>
              </w:rPr>
              <w:br/>
              <w:t>Sistema endocrino: caratteristiche e fisiologia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Sistema nervoso centrale e periferico: anatomia e fisiologia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Indicazioni legislative in tema di  Cosmetologia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Prodotti cosmetici: composizione chimica, meccanismi d’azione sulla persona e implicazioni per l’ambiente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Indicazioni sugli standard di sicurezza nelle lavorazioni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Cenni sulle principali attrezzature, macchinari, strumenti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Comportamenti di salvaguardia ambientale collegati al 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Caratteristiche, patologie e anomalie dell'apparato tegumentario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anatomia, fisiologia, igiene e cosmetologia funzionali agli interventi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Modalità d’uso di strumenti manuali e apparecchiature elettromeccaniche di trattamento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di contabilità e fisco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Calcoli finanziari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E0414" w:rsidRPr="002B3A95" w:rsidRDefault="005E0414" w:rsidP="00990669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5E0414" w:rsidRPr="002B3A95" w:rsidRDefault="005E0414" w:rsidP="00990669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5E0414" w:rsidRPr="002B3A95" w:rsidRDefault="005E0414" w:rsidP="00990669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5E0414" w:rsidRPr="002B3A95" w:rsidRDefault="005E0414" w:rsidP="00990669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E0414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14" w:rsidRPr="002B3A95" w:rsidRDefault="005E0414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 e del sistema di relazioni.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l’accoglienza e l’assistenza adottando adeguate modalità di approccio e orientamento al cliente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 trattamenti di base, individuando i prodotti cosmetici in funzione del trattamento da realizzare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gestione e promozione dell’esercizio</w:t>
            </w:r>
          </w:p>
          <w:p w:rsidR="005E0414" w:rsidRPr="002B3A95" w:rsidRDefault="005E0414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5E0414" w:rsidRPr="002B3A95" w:rsidRDefault="005E0414" w:rsidP="00990669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E0414" w:rsidRPr="002B3A95" w:rsidRDefault="005E0414" w:rsidP="0099066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E0414" w:rsidRPr="002B3A95" w:rsidTr="00990669">
        <w:tc>
          <w:tcPr>
            <w:tcW w:w="4881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E0414" w:rsidRPr="002B3A95" w:rsidTr="00990669">
        <w:trPr>
          <w:trHeight w:val="1080"/>
        </w:trPr>
        <w:tc>
          <w:tcPr>
            <w:tcW w:w="4881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per identificare le tipologie cutanee  e i principali inestetismi viso e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protocolli, tecniche manuali e metodiche specifiche, previsti per la realizzazione di servizi estetici di base eseguiti sulla superficie del corpo umano, quali: manicure, epilazione parziale, massaggio al dorso, preparazione del viso al trattamento, esercitazione manicure e trattamento alla mano, pedicure estetico, epilazione totale, make-up, massaggio al corpo, trattamenti specifici del viso.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Applicare metodiche per la compilazione della scheda tecnica (rilevazione inestetismi del viso).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Applicare procedure e metodiche per l'individuazione e la predisposizione di prodotti cosmetici funzionali alle prestazioni/trattamenti estetici (tipologie di pelle) eseguiti sulla superficie del corpo umano.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il confine tra l’ambito di operatività e di competenza dell’estetista rispetto a quello delle professioni di cura sanitaria.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le norme deontologiche previste dalla figura professionale.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 principi di abbinamento del colore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le morfologie del viso, della persona e i diversi morfotipi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i volumi del viso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graficamente denotazioni e connotazioni dell’immagine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graficamente soluzioni estetiche differenziate in base alle caratteristiche morfologiche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Condividere, comunicare e collaborare con gli altri in ambienti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Ricercare nel web informazioni,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Gestire dati, informazioni e contenuti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Comunicare online rispettando netiquette condivise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Sviluppare contenuti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Integrare e rielaborare contenuti digitali nel rispetto di copyright e licenze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Normative di riferimento in termini di igiene e sicurezza nell’ambiente di lavoro.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Normative di riferimento sulla salvaguardia ambientale: metodi e strumenti di trattamento e smaltimento dei rifiuti.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tecnico/professionali di settore.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delle principali attrezzature, tecnologie (apparecchiature elettromeccaniche) e strumenti in uso.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Modalità di utilizzo degli strumenti manuali e delle apparecchiature elettromeccaniche in uso: principi, meccanismi e parametri di funzionamento.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e metodiche di mantenimento delle principali tecnologie (apparecchiature elettromeccaniche) e degli strumenti in uso.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decontaminazione, disinfezione e sterilizzazione.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sanificazione dell’ambiente.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per l'individuazione e il riconoscimento delle situazioni di rischio.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Ergonomia funzionale al servizio.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e peculiarità dell'apparato tegumentario.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principali riferiti ai cosmetici in uso.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tipologie di trattamento estetico viso e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Principali procedure e metodiche operative dei servizi estetici di base del viso e del corpo.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comunicazione professionale.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morfologiche del viso e i diversi morfotipi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Codici visivi: tipologie e utilizzo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teorie sul colore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di rappresentazione e di restituzione grafica e pittorica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Soluzioni estetiche in base alle caratteristiche della persona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grafiche, pittoriche e del ritratto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Impatto delle tecnologie digitali sulla società e sulla vita contemporanea.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Tipi di file in relazione al loro utilizzo ed alle loro potenzialità.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L’identità digitale: come crearla, gestirla, quali sono i rischi connessi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software e hardware di protezione dei dispositivi e dei dati.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Internet: e-mail e-commerce, e-banking, e-learning, e-government.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online per la comunicazione interpersonale e professionale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Buone pratiche di creazione di documenti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Linguaggi, forme testuali e caratteri della comunicazione multimediale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Sostenibilità e sviluppo del digitale</w:t>
            </w:r>
          </w:p>
        </w:tc>
      </w:tr>
    </w:tbl>
    <w:p w:rsidR="005E0414" w:rsidRPr="002B3A95" w:rsidRDefault="005E0414" w:rsidP="0099066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E0414" w:rsidRPr="002B3A95" w:rsidRDefault="005E0414" w:rsidP="00990669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E0414" w:rsidRPr="002B3A95" w:rsidTr="00990669">
        <w:tc>
          <w:tcPr>
            <w:tcW w:w="4881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E0414" w:rsidRPr="002B3A95" w:rsidRDefault="005E0414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E0414" w:rsidRPr="002B3A95" w:rsidTr="00990669">
        <w:trPr>
          <w:trHeight w:val="1080"/>
        </w:trPr>
        <w:tc>
          <w:tcPr>
            <w:tcW w:w="4881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Collaborare e cooperare nell’organizzazione della gestione del magazzino: carico e scarico prodotti/materiali in uso.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protocolli, tecniche manuali e metodiche specifiche, previsti per la realizzazione di servizi estetici di base sulla superficie del corpo umano, quali: esercitazione manicure, esercitazione pedicure estetico, esercitazione epilazione totale, massaggio circolatorio distensivo totale, esercitazione make-up, esercitazione trattamenti specifici al viso, trattamenti anti-age, trattamenti e massaggi specifici al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metodiche e procedure per l'individuazione e la predisposizione di prodotti cosmetici funzionali alle prestazioni e ai trattamenti estetici eseguiti sulla superficie del corpo umano.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per identificare le tipologie cutanee e gli inestetismi viso e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metodiche per la compilazione della scheda tecnica (rilevazione inestetismi del viso e del corpo).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il confine tra l’ambito di operatività e di competenza dell’estetista rispetto a quello delle professioni di cura sanitaria.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Intervenire con correzioni e/o variazioni sulla base degli effetti dell’applicazione dei prodotti.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Monitorare e valutare l’evolversi del servizio e l’esito complessivo.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e modalità per consigliare/orientare il cliente rispetto agli interventi ed ai prodotti cosmetici proposti.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Contribuire all’erogazione del servizio personalizzandolo e tenendo quindi conto dei bisogni/richieste del cliente.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modalità comunicative chiare, per prefigurare i risultati degli interventi proposti/richiesti e per descrivere fasi e strumenti di lavoro anche nell’ottica di esercitare la vendita del prodotto cosmetico domiciliare.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decontaminazione, disinfezione e sterilizzazione.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sanificazione dell’ambiente.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degli inestetismi e dell’apparato tegumentario, funzionali ai servizi.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igiene e cosmetologia, funzionali ai servizi.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tipologie di trattamento estetico viso e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Procedure e metodiche operative dei servizi estetici del viso e del corpo.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Tipologia, composizione, modalità di applicazione dei prodotti cosmetici funzionali ai trattamenti estetici.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comunicazione e relazione interpersonale.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strumenti e ausili finalizzati all’orientamento del cliente (scheda tecnica di rilevazione: informazioni generali sul cliente e inestetismi viso e corpo, scheda prescrizione prodotti domiciliari consigliati).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Prescrizione e promozione di prodotti cosmetici e servizi. 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intervista: ascolto attivo del cliente.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5E0414" w:rsidRPr="002B3A95" w:rsidRDefault="005E0414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specifico di settore</w:t>
            </w:r>
          </w:p>
        </w:tc>
      </w:tr>
    </w:tbl>
    <w:p w:rsidR="005E0414" w:rsidRPr="002B3A95" w:rsidRDefault="005E0414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5E0414" w:rsidRPr="002B3A95" w:rsidRDefault="005E0414" w:rsidP="00033808">
      <w:pPr>
        <w:spacing w:after="0" w:line="240" w:lineRule="auto"/>
        <w:ind w:left="357"/>
        <w:jc w:val="center"/>
        <w:rPr>
          <w:sz w:val="2"/>
          <w:szCs w:val="2"/>
        </w:rPr>
      </w:pPr>
    </w:p>
    <w:p w:rsidR="005E0414" w:rsidRPr="002B3A95" w:rsidRDefault="005E0414" w:rsidP="005628B8">
      <w:pPr>
        <w:spacing w:after="0" w:line="240" w:lineRule="auto"/>
        <w:rPr>
          <w:rFonts w:ascii="Liberation Serif" w:hAnsi="Liberation Serif" w:cs="Liberation Serif"/>
        </w:rPr>
      </w:pPr>
    </w:p>
    <w:sectPr w:rsidR="005E0414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14" w:rsidRDefault="005E0414">
      <w:r>
        <w:separator/>
      </w:r>
    </w:p>
  </w:endnote>
  <w:endnote w:type="continuationSeparator" w:id="0">
    <w:p w:rsidR="005E0414" w:rsidRDefault="005E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14" w:rsidRDefault="005E0414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E0414" w:rsidRDefault="005E0414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14" w:rsidRPr="00393336" w:rsidRDefault="005E0414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4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E0414" w:rsidRDefault="005E0414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14" w:rsidRDefault="005E0414">
      <w:r>
        <w:separator/>
      </w:r>
    </w:p>
  </w:footnote>
  <w:footnote w:type="continuationSeparator" w:id="0">
    <w:p w:rsidR="005E0414" w:rsidRDefault="005E0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33808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0F6BE4"/>
    <w:rsid w:val="00100CFE"/>
    <w:rsid w:val="0010343A"/>
    <w:rsid w:val="00106B6B"/>
    <w:rsid w:val="00112377"/>
    <w:rsid w:val="00114698"/>
    <w:rsid w:val="001151C7"/>
    <w:rsid w:val="00121B80"/>
    <w:rsid w:val="0012482D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424D"/>
    <w:rsid w:val="00255EBB"/>
    <w:rsid w:val="0025647A"/>
    <w:rsid w:val="0026134C"/>
    <w:rsid w:val="00270441"/>
    <w:rsid w:val="00272599"/>
    <w:rsid w:val="00273064"/>
    <w:rsid w:val="0028150F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2FF0"/>
    <w:rsid w:val="002B3A47"/>
    <w:rsid w:val="002B3A95"/>
    <w:rsid w:val="002B3BC9"/>
    <w:rsid w:val="002B5B6A"/>
    <w:rsid w:val="002C5548"/>
    <w:rsid w:val="002C6FC1"/>
    <w:rsid w:val="002C7B5C"/>
    <w:rsid w:val="002D1FC6"/>
    <w:rsid w:val="002D44C3"/>
    <w:rsid w:val="002E0912"/>
    <w:rsid w:val="002E2857"/>
    <w:rsid w:val="002E331E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3A3A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B6B8D"/>
    <w:rsid w:val="004C1944"/>
    <w:rsid w:val="004C2C8F"/>
    <w:rsid w:val="004E1469"/>
    <w:rsid w:val="004F461E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28B8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041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000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5E14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6593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E3C71"/>
    <w:rsid w:val="009F77A0"/>
    <w:rsid w:val="00A12CF7"/>
    <w:rsid w:val="00A22677"/>
    <w:rsid w:val="00A25C5F"/>
    <w:rsid w:val="00A33DCD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2C02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5AE1"/>
    <w:rsid w:val="00B06D54"/>
    <w:rsid w:val="00B172F1"/>
    <w:rsid w:val="00B401FE"/>
    <w:rsid w:val="00B51D09"/>
    <w:rsid w:val="00B63AEE"/>
    <w:rsid w:val="00B73722"/>
    <w:rsid w:val="00B7606F"/>
    <w:rsid w:val="00B900E6"/>
    <w:rsid w:val="00B95911"/>
    <w:rsid w:val="00BA1C29"/>
    <w:rsid w:val="00BA1CCF"/>
    <w:rsid w:val="00BA4A88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1A6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560D2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36F7E"/>
    <w:rsid w:val="00E404B6"/>
    <w:rsid w:val="00E40AF6"/>
    <w:rsid w:val="00E448F0"/>
    <w:rsid w:val="00E4566E"/>
    <w:rsid w:val="00E45979"/>
    <w:rsid w:val="00E46062"/>
    <w:rsid w:val="00E476A4"/>
    <w:rsid w:val="00E6100F"/>
    <w:rsid w:val="00E61B15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2880</Words>
  <Characters>16417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2024-02-29T15:12:00Z</dcterms:created>
  <dcterms:modified xsi:type="dcterms:W3CDTF">2024-02-29T15:15:00Z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