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83" w:lineRule="auto"/>
        <w:ind w:left="0" w:right="0" w:firstLine="0"/>
        <w:jc w:val="left"/>
        <w:rPr>
          <w:rFonts w:ascii="Liberation Serif" w:cs="Liberation Serif" w:eastAsia="Liberation Serif" w:hAnsi="Liberation Serif"/>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OGGETTO: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83" w:lineRule="auto"/>
        <w:ind w:left="0" w:right="0" w:firstLine="0"/>
        <w:jc w:val="both"/>
        <w:rPr>
          <w:rFonts w:ascii="Liberation Serif" w:cs="Liberation Serif" w:eastAsia="Liberation Serif" w:hAnsi="Liberation Serif"/>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“Aggiornamento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isciplina interna per l’effettuazione dei controlli sulle dichiarazioni sostitutive di certificazione e dell’atto di notorietà di cui al D.P.R. n. 445/2000 – _______________ [</w:t>
      </w:r>
      <w:r w:rsidDel="00000000" w:rsidR="00000000" w:rsidRPr="00000000">
        <w:rPr>
          <w:rFonts w:ascii="Times New Roman" w:cs="Times New Roman" w:eastAsia="Times New Roman" w:hAnsi="Times New Roman"/>
          <w:b w:val="0"/>
          <w:i w:val="1"/>
          <w:smallCaps w:val="0"/>
          <w:strike w:val="0"/>
          <w:color w:val="000000"/>
          <w:highlight w:val="yellow"/>
          <w:u w:val="none"/>
          <w:vertAlign w:val="baseline"/>
          <w:rtl w:val="0"/>
        </w:rPr>
        <w:t xml:space="preserve">inserire la denominazione dell’istituzione scolastica o formativa provinciale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40" w:lineRule="auto"/>
        <w:ind w:left="0" w:right="276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DETERMINAZIONE DIRIGENZIALE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Premesso che:</w:t>
      </w:r>
    </w:p>
    <w:p w:rsidR="00000000" w:rsidDel="00000000" w:rsidP="00000000" w:rsidRDefault="00000000" w:rsidRPr="00000000" w14:paraId="000000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36"/>
        </w:tabs>
        <w:spacing w:after="113" w:before="0" w:line="274" w:lineRule="auto"/>
        <w:ind w:left="720" w:right="0" w:hanging="360"/>
        <w:jc w:val="both"/>
        <w:rPr>
          <w:rFonts w:ascii="Times New Roman" w:cs="Times New Roman" w:eastAsia="Times New Roman" w:hAnsi="Times New Roman"/>
          <w:b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al fine di semplificare l’attività amministrativa e snellire in particolare gli adempimenti posti a carico del cittadino, il d.P.R. 28 dicembre 2000, n. 445 </w:t>
      </w:r>
      <w:r w:rsidDel="00000000" w:rsidR="00000000" w:rsidRPr="00000000">
        <w:rPr>
          <w:rFonts w:ascii="Times New Roman" w:cs="Times New Roman" w:eastAsia="Times New Roman" w:hAnsi="Times New Roman"/>
          <w:rtl w:val="0"/>
        </w:rPr>
        <w:t xml:space="preserve">e s.m.i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prevede due tipologie di dichiarazioni sostitutive rese sotto la personale responsabilità del dichiarante, quali: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1133.858267716535" w:right="0" w:hanging="283.4645669291333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la dichiarazione sostitutiva di certificazione: concernente i soli stati, qualità personali e fatti elencati in modo puntuale nell’articolo </w:t>
      </w:r>
      <w:r w:rsidDel="00000000" w:rsidR="00000000" w:rsidRPr="00000000">
        <w:rPr>
          <w:rFonts w:ascii="Times New Roman" w:cs="Times New Roman" w:eastAsia="Times New Roman" w:hAnsi="Times New Roman"/>
          <w:rtl w:val="0"/>
        </w:rPr>
        <w:t xml:space="preserve">46</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del d.P.R. 445/2000;</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274" w:lineRule="auto"/>
        <w:ind w:left="1133.858267716535" w:right="0" w:hanging="283.4645669291333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la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dichiarazione sostitutiva dell’atto di notorietà: concernente stati, fatti o qualità personali non ricadenti tra quelli attestabili a titolo di dichiarazione sostitutiva di certificazione, anche quando non riguardanti direttamente il dichiarante, purché a sua diretta conoscenza e rese nel proprio interesse (articolo 47 del d.P.R. 445/2000);</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2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sulla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materia è successivamente intervenuto l’articolo 15 della legge 12 novembre 2011, n. 183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legge di stabilità 2012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il quale ha apportato alcune modifiche al d.P.R. n. 445/2000 che merita ricordare in quanto finalizzate a ridurre la produzione di certificati da parte della pubblica amministrazione. Tali modifiche hanno riguardato in particolare l’articolo 40 al quale sono stati aggiunti i commi 01 e 02 che recitano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73"/>
        </w:tabs>
        <w:spacing w:after="0" w:afterAutospacing="0" w:before="0" w:line="274" w:lineRule="auto"/>
        <w:ind w:left="144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“01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rsidR="00000000" w:rsidDel="00000000" w:rsidP="00000000" w:rsidRDefault="00000000" w:rsidRPr="00000000" w14:paraId="000000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173"/>
        </w:tabs>
        <w:spacing w:after="113" w:before="0" w:line="274" w:lineRule="auto"/>
        <w:ind w:left="144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02 Sulle certificazioni da produrre ai soggetti privati è apposta, a pena di nullità, la dicitura: «Il presente certificato non può essere prodotto agli organi della pubblica amministrazione o ai privati gestori di pubblici servizi»”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
        </w:tabs>
        <w:spacing w:after="113" w:before="0" w:line="274" w:lineRule="auto"/>
        <w:ind w:left="708.661417322834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Pertanto, a decorrere dal 1° gennaio 2012, le pubbliche amministrazioni e i soggetti privati gestori di pubblici servizi non possono più richiedere ed accettare certificati ed atti di notorietà in quanto ciò comporta violazione dei doveri d’ufficio ai sensi dell’articolo 74, comma 2, lettera a), del d.P.R. n. 445/2000. Le certificazioni rilasciate dalle pubbliche amministrazioni e i soggetti privati gestori di pubblici servizi sono infatti ora utilizzabili solo nei rapporti con i privati, ragione per cui sulle stesse deve essere apposta la dicitura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 presente certificato non può essere prodotto agli organi della pubblica amministrazione o ai privati gestori di pubblici servizi”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pena di nullità del certificato stesso e per non incorrere nella violazione dei doveri d’ufficio di cui all’articolo 74, comma 2, lett. c bis), del d.P.R. n. 445/2000; in merito è stata diramata a tutte le istituzioni scolastiche e formative provinciali una circolare da parte del Servizio Amministrazione e attività di supporto della Provincia autonoma di Trento in  data 12 dicembre 2012 (prot. n. 711377) avente ad oggetto “Certificati ed atti di notorietà”;</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3.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dichiarazioni sostitutive di certificazione e dell’atto di notorietà semplificano e snelliscono gli adempimenti posti a carico del cittadino ma nel contempo comportano la necessaria effettuazione di controlli da parte della pubblicazione amministrazione accettante al fine di verificare la veridicità di quanto in esse dichiarato dal dichiarante;</w:t>
      </w:r>
    </w:p>
    <w:p w:rsidR="00000000" w:rsidDel="00000000" w:rsidP="00000000" w:rsidRDefault="00000000" w:rsidRPr="00000000" w14:paraId="0000000E">
      <w:pPr>
        <w:widowControl w:val="0"/>
        <w:numPr>
          <w:ilvl w:val="0"/>
          <w:numId w:val="1"/>
        </w:numPr>
        <w:tabs>
          <w:tab w:val="left" w:leader="none" w:pos="407"/>
        </w:tabs>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il D.L. 19 maggio 2020, n. 34, convertito con legge 17 luglio 2020, n. 77 – Decreto Rilancio, ha apportato delle modifiche agli articoli 71 e 76 del DPR 445/2000 e introdotto il comma 1-bis all'articolo 75 dello stesso.  I vigenti articoli sono i seguenti:</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Articolo 71 DPR 445/2000: “Le amministrazioni procedenti sono tenute ad effettuare idonei controlli, anche a campione in misura proporzionale al rischio e all’entità del beneficio, e nei casi di ragionevole dubbio, sulla veridicità delle dichiarazioni di cui agli articoli 46 e 47, anche successivamente all’erogazione dei benefici, comunque denominati, per i quali sono rese le dichiarazioni.”;</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Articolo 75, comma 1-bis,  DPR 445/2000: “La dichiarazione mendace comporta, altresì, la revoca degli eventuali benefici già erogati nonché il divieto di accesso a contributi, finanziamenti e agevolazioni per un periodo di 2 anni decorrenti da quando l’amministrazione ha adottato l’atto di decadenza. Restano comunque fermi gli interventi, anche economici, in favore dei minori e per le situazioni familiari e sociali di particolare disagio.”;</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1417.3228346456694" w:right="0" w:hanging="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Articolo 76 DPR 445/2000: </w:t>
      </w:r>
      <w:r w:rsidDel="00000000" w:rsidR="00000000" w:rsidRPr="00000000">
        <w:rPr>
          <w:rFonts w:ascii="Times New Roman" w:cs="Times New Roman" w:eastAsia="Times New Roman" w:hAnsi="Times New Roman"/>
          <w:rtl w:val="0"/>
        </w:rPr>
        <w:t xml:space="preserve">“La sanzione ordinariamente prevista dal codice penale è aumentata da un terzo alla metà.</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2">
      <w:pPr>
        <w:widowControl w:val="0"/>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la legge collegata alla manovra di bilancio provinciale </w:t>
      </w:r>
      <w:r w:rsidDel="00000000" w:rsidR="00000000" w:rsidRPr="00000000">
        <w:rPr>
          <w:rFonts w:ascii="Times New Roman" w:cs="Times New Roman" w:eastAsia="Times New Roman" w:hAnsi="Times New Roman"/>
          <w:rtl w:val="0"/>
        </w:rPr>
        <w:t xml:space="preserve">2023</w:t>
      </w:r>
      <w:r w:rsidDel="00000000" w:rsidR="00000000" w:rsidRPr="00000000">
        <w:rPr>
          <w:rFonts w:ascii="Times New Roman" w:cs="Times New Roman" w:eastAsia="Times New Roman" w:hAnsi="Times New Roman"/>
          <w:rtl w:val="0"/>
        </w:rPr>
        <w:t xml:space="preserve"> (Legge provinciale 29 dicembre 2022 n.19), sono state apportate modifiche all’articolo 9 ter della L.P. 23/92, rubricato “Controlli sulle dichiarazioni sostitutive e percezione non dovuta di vantaggi economici”, allo scopo di allineare la disciplina provinciale a quella statale in tale materia;</w:t>
      </w:r>
    </w:p>
    <w:p w:rsidR="00000000" w:rsidDel="00000000" w:rsidP="00000000" w:rsidRDefault="00000000" w:rsidRPr="00000000" w14:paraId="00000013">
      <w:pPr>
        <w:widowControl w:val="0"/>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18.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con deliberazione della Giunta provinciale n. 2488 di data 22 dicembre 2022 sono state, pertanto, aggiornate le direttive provinciali aventi ad oggetto “Direttive in materia di controlli sulle dichiarazioni sostitutive rese ai sensi degli artt. 46 e 47 del DPR 445/00”;</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18.0000000000001"/>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direttive trovano applicazione anche con riferimento all’attività di controllo sulla veridicità delle dichiarazioni sostitutive effettuata dagli enti strumentali della Provincia autonoma di Trento, e quindi anche nei confronti delle istituzioni scolastiche e formative provinciali in quanto enti strumentali ai sensi dell’articolo 33 della legge provinciale n. 3/2006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Norme in materia di governo dell'autonomia del Trentino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 consegue quindi che, nell’effettuazione dei controlli da compiere </w:t>
      </w:r>
      <w:r w:rsidDel="00000000" w:rsidR="00000000" w:rsidRPr="00000000">
        <w:rPr>
          <w:rFonts w:ascii="Times New Roman" w:cs="Times New Roman" w:eastAsia="Times New Roman" w:hAnsi="Times New Roman"/>
          <w:rtl w:val="0"/>
        </w:rPr>
        <w:t xml:space="preserve">sulle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dichiarazioni sostitutive acquisite agli atti nel corso dell’attività amministrativa di rispettiva competenza, le istituzioni scolastiche e formative provinciali devono attenersi alle indicazioni riportate in tali direttive.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Preso atto che: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rtl w:val="0"/>
        </w:rPr>
        <w:t xml:space="preserve">e amministrazioni procedenti sono tenute ad effettuare idonei controlli, anche a campione in  misura  proporzionale  al  rischio e all'entita' del beneficio, e nei casi di ragionevole  dubbio, sulla veridicita' delle dichiarazioni di cui agli articoli 46 e 47, anche successivamente all'erogazione dei benefici, comunque denominati, per i quali sono rese le dichiarazioni;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le dichiarazioni infatti comportano la responsabilità del dichiarante, con conseguenze sia sul piano penale che amministrativo, nel caso di accertamento di false dichiarazioni;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controllo è svolto, ove possibile, nel corso dell’istruttoria procedimentale, prima dell’emanazione del provvedimento finale;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07"/>
        </w:tabs>
        <w:spacing w:after="113" w:before="0" w:line="274" w:lineRule="auto"/>
        <w:ind w:left="708.6614173228347" w:right="0" w:hanging="283.46456692913375"/>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l’articolo 1</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del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Piano triennale per la prevenzione della corruzione e per la trasparenza nel sistema educativo provinciale 20</w:t>
      </w:r>
      <w:r w:rsidDel="00000000" w:rsidR="00000000" w:rsidRPr="00000000">
        <w:rPr>
          <w:rFonts w:ascii="Times New Roman" w:cs="Times New Roman" w:eastAsia="Times New Roman" w:hAnsi="Times New Roman"/>
          <w:i w:val="1"/>
          <w:rtl w:val="0"/>
        </w:rPr>
        <w:t xml:space="preserve">24</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-202</w:t>
      </w:r>
      <w:r w:rsidDel="00000000" w:rsidR="00000000" w:rsidRPr="00000000">
        <w:rPr>
          <w:rFonts w:ascii="Times New Roman" w:cs="Times New Roman" w:eastAsia="Times New Roman" w:hAnsi="Times New Roman"/>
          <w:i w:val="1"/>
          <w:rtl w:val="0"/>
        </w:rPr>
        <w:t xml:space="preserve">6</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approvato con le deliberazioni della Giunta provinciale n. </w:t>
      </w:r>
      <w:r w:rsidDel="00000000" w:rsidR="00000000" w:rsidRPr="00000000">
        <w:rPr>
          <w:rFonts w:ascii="Times New Roman" w:cs="Times New Roman" w:eastAsia="Times New Roman" w:hAnsi="Times New Roman"/>
          <w:rtl w:val="0"/>
        </w:rPr>
        <w:t xml:space="preserve">96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del 20</w:t>
      </w: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conferma le tipologie di controlli da potersi effettuare, a seconda dei casi, sulle dichiarazioni sostitutive così come previste nelle sopra citate direttive provinciali ossia:</w:t>
      </w:r>
    </w:p>
    <w:p w:rsidR="00000000" w:rsidDel="00000000" w:rsidP="00000000" w:rsidRDefault="00000000" w:rsidRPr="00000000" w14:paraId="0000001A">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a campione, di norma;</w:t>
      </w:r>
    </w:p>
    <w:p w:rsidR="00000000" w:rsidDel="00000000" w:rsidP="00000000" w:rsidRDefault="00000000" w:rsidRPr="00000000" w14:paraId="0000001B">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mirato;</w:t>
      </w:r>
    </w:p>
    <w:p w:rsidR="00000000" w:rsidDel="00000000" w:rsidP="00000000" w:rsidRDefault="00000000" w:rsidRPr="00000000" w14:paraId="0000001C">
      <w:pPr>
        <w:tabs>
          <w:tab w:val="left" w:leader="none" w:pos="810"/>
        </w:tabs>
        <w:spacing w:after="113" w:before="0" w:line="274" w:lineRule="auto"/>
        <w:ind w:left="283.46456692913375" w:right="0" w:firstLine="425.1968503937008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controllo a tappeto.</w:t>
      </w:r>
    </w:p>
    <w:p w:rsidR="00000000" w:rsidDel="00000000" w:rsidP="00000000" w:rsidRDefault="00000000" w:rsidRPr="00000000" w14:paraId="0000001D">
      <w:pPr>
        <w:numPr>
          <w:ilvl w:val="0"/>
          <w:numId w:val="2"/>
        </w:numPr>
        <w:tabs>
          <w:tab w:val="left" w:leader="none" w:pos="810"/>
        </w:tabs>
        <w:spacing w:after="56" w:before="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Considerato che la legge non obbliga la pubblica amministrazione a procedere ad una verifica sistematica in ordine alla veridicità del contenuto di tutte le dichiarazioni sostitutive rese e che pertanto l’istituzione è legittimata a procedere, di norma, con controlli a campione purché sia garantita la percentuale minima del 3%, determinata su un arco temporale annuale, come stabilito dalla Giunta provinciale con la deliberazione n. </w:t>
      </w:r>
      <w:r w:rsidDel="00000000" w:rsidR="00000000" w:rsidRPr="00000000">
        <w:rPr>
          <w:rFonts w:ascii="Times New Roman" w:cs="Times New Roman" w:eastAsia="Times New Roman" w:hAnsi="Times New Roman"/>
          <w:rtl w:val="0"/>
        </w:rPr>
        <w:t xml:space="preserve">2488</w:t>
      </w:r>
      <w:r w:rsidDel="00000000" w:rsidR="00000000" w:rsidRPr="00000000">
        <w:rPr>
          <w:rFonts w:ascii="Times New Roman" w:cs="Times New Roman" w:eastAsia="Times New Roman" w:hAnsi="Times New Roman"/>
          <w:rtl w:val="0"/>
        </w:rPr>
        <w:t xml:space="preserve">/2022 e comunque </w:t>
      </w:r>
      <w:r w:rsidDel="00000000" w:rsidR="00000000" w:rsidRPr="00000000">
        <w:rPr>
          <w:rFonts w:ascii="Times New Roman" w:cs="Times New Roman" w:eastAsia="Times New Roman" w:hAnsi="Times New Roman"/>
          <w:rtl w:val="0"/>
        </w:rPr>
        <w:t xml:space="preserve"> in  misura  proporzionale  al  rischio  e all'entita' del beneficio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tabs>
          <w:tab w:val="left" w:leader="none" w:pos="810"/>
        </w:tabs>
        <w:spacing w:after="56" w:before="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10"/>
        </w:numPr>
        <w:tabs>
          <w:tab w:val="left" w:leader="none" w:pos="810"/>
        </w:tabs>
        <w:spacing w:after="56" w:before="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considerato che al comma 2 dell’articolo 13 del citato </w:t>
      </w:r>
      <w:r w:rsidDel="00000000" w:rsidR="00000000" w:rsidRPr="00000000">
        <w:rPr>
          <w:rFonts w:ascii="Times New Roman" w:cs="Times New Roman" w:eastAsia="Times New Roman" w:hAnsi="Times New Roman"/>
          <w:i w:val="1"/>
          <w:rtl w:val="0"/>
        </w:rPr>
        <w:t xml:space="preserve">Piano</w:t>
      </w:r>
      <w:r w:rsidDel="00000000" w:rsidR="00000000" w:rsidRPr="00000000">
        <w:rPr>
          <w:rFonts w:ascii="Times New Roman" w:cs="Times New Roman" w:eastAsia="Times New Roman" w:hAnsi="Times New Roman"/>
          <w:rtl w:val="0"/>
        </w:rPr>
        <w:t xml:space="preserve"> è precisato che il dirigente di ogni istituzione scolastica e formativa provinciale deve adottare un proprio provvedimento nel quale:</w:t>
      </w:r>
      <w:r w:rsidDel="00000000" w:rsidR="00000000" w:rsidRPr="00000000">
        <w:rPr>
          <w:rtl w:val="0"/>
        </w:rPr>
      </w:r>
    </w:p>
    <w:p w:rsidR="00000000" w:rsidDel="00000000" w:rsidP="00000000" w:rsidRDefault="00000000" w:rsidRPr="00000000" w14:paraId="00000020">
      <w:pPr>
        <w:tabs>
          <w:tab w:val="left" w:leader="none" w:pos="810"/>
        </w:tabs>
        <w:spacing w:after="113" w:before="0" w:line="274" w:lineRule="auto"/>
        <w:ind w:left="1275.5905511811022" w:right="0"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registrare tutti i procedimenti amministrativi di competenza dell’istituzione nel corso dei quali vengono acquisite agli atti, da parte dell’istituzione scolastica o formativa provinciale, le dichiarazioni sostitutive di certificazione e/o dell’atto di notorietà previste dagli articoli 46 e 47 del d.P.R. n. 445 del 2000;</w:t>
      </w:r>
    </w:p>
    <w:p w:rsidR="00000000" w:rsidDel="00000000" w:rsidP="00000000" w:rsidRDefault="00000000" w:rsidRPr="00000000" w14:paraId="00000021">
      <w:pPr>
        <w:tabs>
          <w:tab w:val="left" w:leader="none" w:pos="810"/>
        </w:tabs>
        <w:spacing w:after="113" w:before="0" w:line="274" w:lineRule="auto"/>
        <w:ind w:left="1275.5905511811022" w:right="0" w:hanging="283.46456692913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stabilire per ognuno di tali procedimenti amministrativi:</w:t>
      </w:r>
    </w:p>
    <w:p w:rsidR="00000000" w:rsidDel="00000000" w:rsidP="00000000" w:rsidRDefault="00000000" w:rsidRPr="00000000" w14:paraId="00000022">
      <w:pPr>
        <w:tabs>
          <w:tab w:val="left" w:leader="none" w:pos="810"/>
        </w:tabs>
        <w:spacing w:after="113" w:before="0" w:line="274" w:lineRule="auto"/>
        <w:ind w:left="1559.0551181102362" w:right="0" w:hanging="285.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percentuale di pratiche da assoggettare a controllo;</w:t>
      </w:r>
    </w:p>
    <w:p w:rsidR="00000000" w:rsidDel="00000000" w:rsidP="00000000" w:rsidRDefault="00000000" w:rsidRPr="00000000" w14:paraId="00000023">
      <w:pPr>
        <w:tabs>
          <w:tab w:val="left" w:leader="none" w:pos="810"/>
        </w:tabs>
        <w:spacing w:after="113" w:before="0" w:line="274" w:lineRule="auto"/>
        <w:ind w:left="1559.0551181102362" w:right="0" w:hanging="285.000000000000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 tipologia di controllo (a campione; mirato; a tappeto);</w:t>
      </w:r>
    </w:p>
    <w:p w:rsidR="00000000" w:rsidDel="00000000" w:rsidP="00000000" w:rsidRDefault="00000000" w:rsidRPr="00000000" w14:paraId="00000024">
      <w:pPr>
        <w:tabs>
          <w:tab w:val="left" w:leader="none" w:pos="810"/>
        </w:tabs>
        <w:spacing w:after="113" w:before="0" w:line="274" w:lineRule="auto"/>
        <w:ind w:left="1417.3228346456694" w:right="0" w:hanging="141.732283464567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dettagli per la loro effettuazione con particolare riferimento alle modalità organizzative e ai tempi, garantendo in ogni caso la tempestività delle stesse laddove necessario.</w:t>
      </w:r>
    </w:p>
    <w:p w:rsidR="00000000" w:rsidDel="00000000" w:rsidP="00000000" w:rsidRDefault="00000000" w:rsidRPr="00000000" w14:paraId="00000025">
      <w:pPr>
        <w:numPr>
          <w:ilvl w:val="0"/>
          <w:numId w:val="4"/>
        </w:numPr>
        <w:tabs>
          <w:tab w:val="left" w:leader="none" w:pos="810"/>
        </w:tabs>
        <w:spacing w:after="113" w:before="0" w:line="274"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Considerato, altresì, che la deliberazione della Giunta provinciale n. 2488/2022 con riferimento al controllo a campione dispone che il Dirigente, nel rispetto dell’imparzialità e della casualità, con proprio provvedimento motivato, può individuare metodologie di campionamento delle pratiche diverse da quelle indicate dalla Giunta nella propria deliberazione, qualora nessuna delle stesse sia adeguata in relazione alla natura delle pratiche, alla loro consistenza numerica, alla tempistica di presentazione delle domande o delle dichiarazioni sostitutive ovvero ad altre circostanze oggettivamente comprovabili </w:t>
      </w:r>
      <w:r w:rsidDel="00000000" w:rsidR="00000000" w:rsidRPr="00000000">
        <w:rPr>
          <w:rFonts w:ascii="Times New Roman" w:cs="Times New Roman" w:eastAsia="Times New Roman" w:hAnsi="Times New Roman"/>
          <w:rtl w:val="0"/>
        </w:rPr>
        <w:t xml:space="preserve">e comunque in  misura proporzionale al rischio e all'entita' del beneficio.</w:t>
      </w:r>
      <w:r w:rsidDel="00000000" w:rsidR="00000000" w:rsidRPr="00000000">
        <w:rPr>
          <w:rtl w:val="0"/>
        </w:rPr>
      </w:r>
    </w:p>
    <w:p w:rsidR="00000000" w:rsidDel="00000000" w:rsidP="00000000" w:rsidRDefault="00000000" w:rsidRPr="00000000" w14:paraId="00000026">
      <w:pPr>
        <w:tabs>
          <w:tab w:val="left" w:leader="none" w:pos="225"/>
        </w:tabs>
        <w:spacing w:after="113" w:before="0" w:line="274"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Preso atto quindi della necessità di adempiere agli oneri posti a carico del dirigente dell’istituzione, con il  presente provvedimento si provvede:</w:t>
      </w:r>
    </w:p>
    <w:p w:rsidR="00000000" w:rsidDel="00000000" w:rsidP="00000000" w:rsidRDefault="00000000" w:rsidRPr="00000000" w14:paraId="00000027">
      <w:pPr>
        <w:numPr>
          <w:ilvl w:val="1"/>
          <w:numId w:val="6"/>
        </w:numPr>
        <w:tabs>
          <w:tab w:val="left" w:leader="none" w:pos="654"/>
        </w:tabs>
        <w:spacing w:after="0" w:afterAutospacing="0" w:before="0" w:line="274"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 individuare tutti i procedimenti amministrativi di competenza dell’istituzione, nel corso dei quali sono acquisite agli atti delle dichiarazioni sostitutive di certificazione e/o dell’atto di notorietà, al fine di poter procedere all’effettuazione dei necessari controlli;</w:t>
      </w:r>
    </w:p>
    <w:p w:rsidR="00000000" w:rsidDel="00000000" w:rsidP="00000000" w:rsidRDefault="00000000" w:rsidRPr="00000000" w14:paraId="00000028">
      <w:pPr>
        <w:numPr>
          <w:ilvl w:val="1"/>
          <w:numId w:val="6"/>
        </w:numPr>
        <w:tabs>
          <w:tab w:val="left" w:leader="none" w:pos="654"/>
        </w:tabs>
        <w:spacing w:after="0" w:afterAutospacing="0" w:before="0" w:line="274" w:lineRule="auto"/>
        <w:ind w:left="1440" w:right="0" w:hanging="360"/>
        <w:jc w:val="both"/>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rtl w:val="0"/>
        </w:rPr>
        <w:t xml:space="preserve">ad individuare, con riferimento al controllo “a campione”, metodologie di campionamento delle pratiche diverse da quelle indicate dalla Giunta nella propria deliberazione, qualora nessuna delle stesse sia ritenuta adeguata in relazione alla natura delle pratiche, alla loro consistenza numerica, alla tempistica di presentazione delle domande o delle dichiarazioni sostitutive ovvero ad altre circostanze oggettivamente comprovabili </w:t>
      </w:r>
      <w:r w:rsidDel="00000000" w:rsidR="00000000" w:rsidRPr="00000000">
        <w:rPr>
          <w:rFonts w:ascii="Times New Roman" w:cs="Times New Roman" w:eastAsia="Times New Roman" w:hAnsi="Times New Roman"/>
          <w:rtl w:val="0"/>
        </w:rPr>
        <w:t xml:space="preserve">e comunque  in  misura  proporzionale  al  rischio e all'entita' del beneficio</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9">
      <w:pPr>
        <w:numPr>
          <w:ilvl w:val="1"/>
          <w:numId w:val="6"/>
        </w:numPr>
        <w:tabs>
          <w:tab w:val="left" w:leader="none" w:pos="654"/>
        </w:tabs>
        <w:spacing w:after="113" w:before="0" w:line="274"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 approvare,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sulla falsariga di quelli predisposti dalla Giunta provinciale con la deliberazione n. 2488/2022, un fac-simile di </w:t>
      </w:r>
      <w:r w:rsidDel="00000000" w:rsidR="00000000" w:rsidRPr="00000000">
        <w:rPr>
          <w:rFonts w:ascii="Times New Roman" w:cs="Times New Roman" w:eastAsia="Times New Roman" w:hAnsi="Times New Roman"/>
          <w:color w:val="000000"/>
          <w:sz w:val="24"/>
          <w:szCs w:val="24"/>
          <w:rtl w:val="0"/>
        </w:rPr>
        <w:t xml:space="preserve">“VERBALE DI ESTRAZIONE DEL CAMPIONE” e di “VERBALE DI CONCLUSIONE DEL CONTROLLO”.</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Preso altresì atto che:</w:t>
      </w:r>
    </w:p>
    <w:p w:rsidR="00000000" w:rsidDel="00000000" w:rsidP="00000000" w:rsidRDefault="00000000" w:rsidRPr="00000000" w14:paraId="0000002B">
      <w:pPr>
        <w:numPr>
          <w:ilvl w:val="0"/>
          <w:numId w:val="11"/>
        </w:numPr>
        <w:tabs>
          <w:tab w:val="left" w:leader="none" w:pos="225"/>
        </w:tabs>
        <w:spacing w:after="0" w:afterAutospacing="0"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 presente determinazione dirigenziale</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deve essere pubblicata, entro il 30 settembre 2024, nel sito web istituzionale dell’istituzione nella sezione “Amministrazione trasparente”, sotto-sezione “Altri contenuti – Dati ulteriori”;</w:t>
      </w:r>
      <w:r w:rsidDel="00000000" w:rsidR="00000000" w:rsidRPr="00000000">
        <w:rPr>
          <w:rtl w:val="0"/>
        </w:rPr>
      </w:r>
    </w:p>
    <w:p w:rsidR="00000000" w:rsidDel="00000000" w:rsidP="00000000" w:rsidRDefault="00000000" w:rsidRPr="00000000" w14:paraId="0000002C">
      <w:pPr>
        <w:numPr>
          <w:ilvl w:val="0"/>
          <w:numId w:val="11"/>
        </w:numPr>
        <w:tabs>
          <w:tab w:val="left" w:leader="none" w:pos="225"/>
        </w:tabs>
        <w:spacing w:after="113"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nella sezione “Amministrazione trasparente”, come stabilito dall’Autorità Nazionale Anticorruzione (A.N.AC.) nella deliberazione n. 430 del 2016, devono essere pubblicati anche i recapiti telefonici e le caselle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Tenuto conto dell’articolo 23, comma 1, della legge provinciale 7 agosto 2006, n.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legge provinciale sulla scuola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quale attribuisce al dirigente dell’istituzione, tra le altre cose, poteri di gestione e di organizzazione del lavoro;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113" w:before="0" w:line="2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403"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DIRIGENTE DELL’ISTITUZIONE</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D.P.R. 28 dicembre 2000, n. 455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circolare del Servizio Amministrazione e attività di supporto della Provincia autonoma di Trento di data 12 </w:t>
      </w:r>
      <w:r w:rsidDel="00000000" w:rsidR="00000000" w:rsidRPr="00000000">
        <w:rPr>
          <w:rFonts w:ascii="Times New Roman" w:cs="Times New Roman" w:eastAsia="Times New Roman" w:hAnsi="Times New Roman"/>
          <w:rtl w:val="0"/>
        </w:rPr>
        <w:t xml:space="preserve">dicembre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2012 (prot. n. 711377) avente ad oggetto “Certificati ed atti di notorietà”;</w:t>
      </w:r>
    </w:p>
    <w:p w:rsidR="00000000" w:rsidDel="00000000" w:rsidP="00000000" w:rsidRDefault="00000000" w:rsidRPr="00000000" w14:paraId="00000033">
      <w:pPr>
        <w:numPr>
          <w:ilvl w:val="0"/>
          <w:numId w:val="13"/>
        </w:numPr>
        <w:tabs>
          <w:tab w:val="left" w:leader="none" w:pos="171"/>
        </w:tabs>
        <w:spacing w:after="0" w:afterAutospacing="0" w:line="274"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vista la deliberazione della giunte provinciale  n. 2488 di data 28 dicembre 2022;</w:t>
      </w:r>
    </w:p>
    <w:p w:rsidR="00000000" w:rsidDel="00000000" w:rsidP="00000000" w:rsidRDefault="00000000" w:rsidRPr="00000000" w14:paraId="000000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della legge provinciale 30 novembre 1992, n. 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Principi per la democratizzazione, la semplificazione e la partecipazione all'azione amministrativa provinciale e norme in materia di procedimento amministrativo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0" w:afterAutospacing="0"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legge provinciale 16 giugno 2006, n.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Norme in materia di governo dell'autonomia del Trentino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in particolare l’articolo 33 rubricato “Enti strumentali”;</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171"/>
        </w:tabs>
        <w:spacing w:after="113" w:before="0" w:line="274" w:lineRule="auto"/>
        <w:ind w:left="720" w:right="0" w:hanging="360"/>
        <w:jc w:val="both"/>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legge provinciale 7 agosto 2006, n. 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legge provinciale sulla scuola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in particolare l’articolo 23, comma 1;</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13" w:before="0" w:line="326" w:lineRule="auto"/>
        <w:ind w:left="0" w:right="398"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DETERMINA</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dare atto che le </w:t>
      </w:r>
      <w:r w:rsidDel="00000000" w:rsidR="00000000" w:rsidRPr="00000000">
        <w:rPr>
          <w:rFonts w:ascii="Times New Roman" w:cs="Times New Roman" w:eastAsia="Times New Roman" w:hAnsi="Times New Roman"/>
          <w:rtl w:val="0"/>
        </w:rPr>
        <w:t xml:space="preserve">“Direttive in materia di controlli sulle dichiarazioni sostitutive rese ai sensi degli artt. 46 e 47 del DPR 445/00”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approvate dalla Giunta provinciale con le deliberazioni n. </w:t>
      </w:r>
      <w:r w:rsidDel="00000000" w:rsidR="00000000" w:rsidRPr="00000000">
        <w:rPr>
          <w:rFonts w:ascii="Times New Roman" w:cs="Times New Roman" w:eastAsia="Times New Roman" w:hAnsi="Times New Roman"/>
          <w:rtl w:val="0"/>
        </w:rPr>
        <w:t xml:space="preserve">2488/2022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trovano applicazione e pertanto sono vincolanti anche con riferimento </w:t>
      </w:r>
      <w:r w:rsidDel="00000000" w:rsidR="00000000" w:rsidRPr="00000000">
        <w:rPr>
          <w:rFonts w:ascii="Times New Roman" w:cs="Times New Roman" w:eastAsia="Times New Roman" w:hAnsi="Times New Roman"/>
          <w:rtl w:val="0"/>
        </w:rPr>
        <w:t xml:space="preserve">all’attività di controllo sulla veridicità delle dichiarazioni sostitutive effettuata dall’istituzione.</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prendere atto che anche nei confronti dell’istituzione trova applicazione la percentuale minima pari al </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determinata su un arco temporale annuale, delle pratiche da sottoporre a controllo sulla veridicità delle dichiarazioni sostitutive e dell’atto di notorietà, percentuale che è possibile modificare</w:t>
      </w:r>
      <w:r w:rsidDel="00000000" w:rsidR="00000000" w:rsidRPr="00000000">
        <w:rPr>
          <w:rFonts w:ascii="Times New Roman" w:cs="Times New Roman" w:eastAsia="Times New Roman" w:hAnsi="Times New Roman"/>
          <w:b w:val="0"/>
          <w:i w:val="0"/>
          <w:smallCaps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rtl w:val="0"/>
        </w:rPr>
        <w:t xml:space="preserve">comunque in misura proporzionale al rischio e all'entità del beneficio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97" w:right="0" w:hanging="397"/>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individuare, per le motivazioni esposte in premessa e quale parte integrante e sostanziale del presente provvedimento,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contenente tutti i procedimenti amministrativi di competenza dell’istituzione nel corso dei quali sono acquisite le dichiarazioni sostitutive di certificazione e/o dell’atto di notorietà di cui agli articoli 46 e 47 del d.P.R. n. 445/2000, al fine di poter procedere con metodologia all’effettuazione dei relativi controlli, stabilendo per ciascuno la percentuale di pratiche da assoggettare a controllo e la tipologia di controllo;</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340" w:right="0" w:hanging="340"/>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individuare, per le motivazioni esposte in premessa e quale parte integrante e sostanziale del presente provvedimento, 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contenente tutte le metodologie di campionamento delle pratiche con le relative modalità organizzative;</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approvare il fac-simile del “VERBALE DI ESTRAZIONE DEL CAMPIONE”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predisposto sulla </w:t>
      </w:r>
      <w:r w:rsidDel="00000000" w:rsidR="00000000" w:rsidRPr="00000000">
        <w:rPr>
          <w:rFonts w:ascii="Times New Roman" w:cs="Times New Roman" w:eastAsia="Times New Roman" w:hAnsi="Times New Roman"/>
          <w:rtl w:val="0"/>
        </w:rPr>
        <w:t xml:space="preserve">base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quello approvato Provincia autonoma di Trento;</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approvare il fac-simile del “VERBALE DI CONCLUSIONE DEL CONTROLLO”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predisposto sulla </w:t>
      </w:r>
      <w:r w:rsidDel="00000000" w:rsidR="00000000" w:rsidRPr="00000000">
        <w:rPr>
          <w:rFonts w:ascii="Times New Roman" w:cs="Times New Roman" w:eastAsia="Times New Roman" w:hAnsi="Times New Roman"/>
          <w:rtl w:val="0"/>
        </w:rPr>
        <w:t xml:space="preserve">base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quello approvato dalla Provincia;</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283" w:right="0" w:hanging="283"/>
        <w:jc w:val="both"/>
        <w:rPr>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dare atto che il presente provvedimento verrà pubblicato, entro il 3</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settembre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 sito web dell’istituzione, nella sezione “Amministrazione trasparente”, sotto-sezione “Altri contenuti – Dati ulteriori”;</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4"/>
        </w:tabs>
        <w:spacing w:after="113" w:before="0" w:line="27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A)</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elenco riproduce tutti i procedimenti amministrativi di competenza dell’istituzione nel corso della cui istruttoria sono acquisite agli atti le dichiarazioni sostitutive di certificazione e/o dell’atto di notorietà previste dagli articoli 46 e 47 del decreto del Presidente della Repubblica n. 445 del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indicando: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tl w:val="0"/>
        </w:rPr>
      </w:r>
    </w:p>
    <w:tbl>
      <w:tblPr>
        <w:tblStyle w:val="Table1"/>
        <w:tblW w:w="9602.0" w:type="dxa"/>
        <w:jc w:val="left"/>
        <w:tblInd w:w="-124.0" w:type="dxa"/>
        <w:tblBorders>
          <w:top w:color="000000" w:space="0" w:sz="4" w:val="single"/>
          <w:left w:color="000000" w:space="0" w:sz="4" w:val="single"/>
          <w:bottom w:color="000000" w:space="0" w:sz="4" w:val="single"/>
          <w:insideH w:color="000000" w:space="0" w:sz="4" w:val="single"/>
        </w:tblBorders>
        <w:tblLayout w:type="fixed"/>
        <w:tblLook w:val="0000"/>
      </w:tblPr>
      <w:tblGrid>
        <w:gridCol w:w="5084"/>
        <w:gridCol w:w="2206"/>
        <w:gridCol w:w="2312"/>
        <w:tblGridChange w:id="0">
          <w:tblGrid>
            <w:gridCol w:w="5084"/>
            <w:gridCol w:w="2206"/>
            <w:gridCol w:w="2312"/>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3">
            <w:pPr>
              <w:spacing w:after="0" w:before="100" w:line="288" w:lineRule="auto"/>
              <w:jc w:val="center"/>
              <w:rPr/>
            </w:pPr>
            <w:r w:rsidDel="00000000" w:rsidR="00000000" w:rsidRPr="00000000">
              <w:rPr>
                <w:b w:val="1"/>
                <w:rtl w:val="0"/>
              </w:rPr>
              <w:t xml:space="preserve">Procedimento amministrativo</w:t>
            </w:r>
            <w:r w:rsidDel="00000000" w:rsidR="00000000" w:rsidRPr="00000000">
              <w:rPr>
                <w:b w:val="1"/>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4">
            <w:pPr>
              <w:spacing w:after="0" w:before="100" w:line="288" w:lineRule="auto"/>
              <w:jc w:val="center"/>
              <w:rPr>
                <w:b w:val="1"/>
              </w:rPr>
            </w:pPr>
            <w:r w:rsidDel="00000000" w:rsidR="00000000" w:rsidRPr="00000000">
              <w:rPr>
                <w:b w:val="1"/>
                <w:rtl w:val="0"/>
              </w:rPr>
              <w:t xml:space="preserve">Percentuale</w:t>
            </w:r>
          </w:p>
          <w:p w:rsidR="00000000" w:rsidDel="00000000" w:rsidP="00000000" w:rsidRDefault="00000000" w:rsidRPr="00000000" w14:paraId="00000045">
            <w:pPr>
              <w:spacing w:after="0" w:before="100" w:line="288" w:lineRule="auto"/>
              <w:jc w:val="center"/>
              <w:rPr/>
            </w:pPr>
            <w:r w:rsidDel="00000000" w:rsidR="00000000" w:rsidRPr="00000000">
              <w:rPr>
                <w:b w:val="1"/>
                <w:rtl w:val="0"/>
              </w:rPr>
              <w:t xml:space="preserve">del campione</w:t>
            </w:r>
            <w:r w:rsidDel="00000000" w:rsidR="00000000" w:rsidRPr="00000000">
              <w:rPr>
                <w:b w:val="1"/>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right w:w="57.0" w:type="dxa"/>
            </w:tcMar>
          </w:tcPr>
          <w:p w:rsidR="00000000" w:rsidDel="00000000" w:rsidP="00000000" w:rsidRDefault="00000000" w:rsidRPr="00000000" w14:paraId="00000046">
            <w:pPr>
              <w:spacing w:after="0" w:before="100" w:line="288" w:lineRule="auto"/>
              <w:jc w:val="center"/>
              <w:rPr>
                <w:b w:val="1"/>
              </w:rPr>
            </w:pPr>
            <w:r w:rsidDel="00000000" w:rsidR="00000000" w:rsidRPr="00000000">
              <w:rPr>
                <w:b w:val="1"/>
                <w:rtl w:val="0"/>
              </w:rPr>
              <w:t xml:space="preserve">Tipologia di </w:t>
            </w:r>
          </w:p>
          <w:p w:rsidR="00000000" w:rsidDel="00000000" w:rsidP="00000000" w:rsidRDefault="00000000" w:rsidRPr="00000000" w14:paraId="00000047">
            <w:pPr>
              <w:spacing w:after="0" w:before="100" w:line="288" w:lineRule="auto"/>
              <w:jc w:val="center"/>
              <w:rPr/>
            </w:pPr>
            <w:r w:rsidDel="00000000" w:rsidR="00000000" w:rsidRPr="00000000">
              <w:rPr>
                <w:b w:val="1"/>
                <w:rtl w:val="0"/>
              </w:rPr>
              <w:t xml:space="preserve">controllo</w:t>
            </w:r>
            <w:r w:rsidDel="00000000" w:rsidR="00000000" w:rsidRPr="00000000">
              <w:rPr>
                <w:b w:val="1"/>
                <w:vertAlign w:val="superscript"/>
              </w:rPr>
              <w:footnoteReference w:customMarkFollows="0" w:id="2"/>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8">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49">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4A">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B">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4C">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4D">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4E">
            <w:pPr>
              <w:spacing w:after="0" w:before="100" w:line="288" w:lineRule="auto"/>
              <w:jc w:val="center"/>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4F">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0">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1">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2">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3">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4">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5">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6">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7">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8">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9">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A">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B">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C">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5D">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5E">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5F">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0">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1">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2">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3">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4">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5">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6">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7">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8">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9">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A">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B">
            <w:pPr>
              <w:spacing w:after="0" w:before="100" w:line="288" w:lineRule="auto"/>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tcMar>
              <w:top w:w="0.0" w:type="dxa"/>
            </w:tcMar>
          </w:tcPr>
          <w:p w:rsidR="00000000" w:rsidDel="00000000" w:rsidP="00000000" w:rsidRDefault="00000000" w:rsidRPr="00000000" w14:paraId="0000006C">
            <w:pPr>
              <w:spacing w:after="0" w:before="100" w:line="288" w:lineRule="auto"/>
              <w:rPr>
                <w:sz w:val="20"/>
                <w:szCs w:val="20"/>
              </w:rPr>
            </w:pPr>
            <w:r w:rsidDel="00000000" w:rsidR="00000000" w:rsidRPr="00000000">
              <w:rPr>
                <w:rtl w:val="0"/>
              </w:rPr>
            </w:r>
          </w:p>
        </w:tc>
        <w:tc>
          <w:tcPr>
            <w:tcBorders>
              <w:left w:color="000000" w:space="0" w:sz="4" w:val="single"/>
              <w:bottom w:color="000000" w:space="0" w:sz="4" w:val="single"/>
            </w:tcBorders>
            <w:shd w:fill="auto" w:val="clear"/>
            <w:tcMar>
              <w:top w:w="60.0" w:type="dxa"/>
              <w:left w:w="55.0" w:type="dxa"/>
              <w:bottom w:w="60.0" w:type="dxa"/>
              <w:right w:w="60.0" w:type="dxa"/>
            </w:tcMar>
          </w:tcPr>
          <w:p w:rsidR="00000000" w:rsidDel="00000000" w:rsidP="00000000" w:rsidRDefault="00000000" w:rsidRPr="00000000" w14:paraId="0000006D">
            <w:pPr>
              <w:spacing w:after="0" w:before="100" w:line="288" w:lineRule="auto"/>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Mar>
              <w:top w:w="0.0" w:type="dxa"/>
              <w:right w:w="57.0" w:type="dxa"/>
            </w:tcMar>
          </w:tcPr>
          <w:p w:rsidR="00000000" w:rsidDel="00000000" w:rsidP="00000000" w:rsidRDefault="00000000" w:rsidRPr="00000000" w14:paraId="0000006E">
            <w:pPr>
              <w:spacing w:after="0" w:before="100" w:line="288" w:lineRule="auto"/>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B)</w:t>
      </w:r>
    </w:p>
    <w:p w:rsidR="00000000" w:rsidDel="00000000" w:rsidP="00000000" w:rsidRDefault="00000000" w:rsidRPr="00000000" w14:paraId="00000070">
      <w:pPr>
        <w:spacing w:after="142" w:before="100" w:line="288" w:lineRule="auto"/>
        <w:jc w:val="both"/>
        <w:rPr/>
      </w:pPr>
      <w:r w:rsidDel="00000000" w:rsidR="00000000" w:rsidRPr="00000000">
        <w:rPr>
          <w:rFonts w:ascii="Times New Roman" w:cs="Times New Roman" w:eastAsia="Times New Roman" w:hAnsi="Times New Roman"/>
          <w:rtl w:val="0"/>
        </w:rPr>
        <w:t xml:space="preserve">Nel rispetto di quanto stabilito dalla Giunta provinciale nelle Direttive approvate</w:t>
      </w:r>
      <w:r w:rsidDel="00000000" w:rsidR="00000000" w:rsidRPr="00000000">
        <w:rPr>
          <w:rFonts w:ascii="Times New Roman" w:cs="Times New Roman" w:eastAsia="Times New Roman" w:hAnsi="Times New Roman"/>
          <w:sz w:val="22"/>
          <w:szCs w:val="22"/>
          <w:rtl w:val="0"/>
        </w:rPr>
        <w:t xml:space="preserve"> deliberazione n. 2488 di data 22 dicembre 2022</w:t>
      </w:r>
      <w:r w:rsidDel="00000000" w:rsidR="00000000" w:rsidRPr="00000000">
        <w:rPr>
          <w:rFonts w:ascii="Times New Roman" w:cs="Times New Roman" w:eastAsia="Times New Roman" w:hAnsi="Times New Roman"/>
          <w:rtl w:val="0"/>
        </w:rPr>
        <w:t xml:space="preserve">- aventi ad oggetto</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sz w:val="22"/>
          <w:szCs w:val="22"/>
          <w:rtl w:val="0"/>
        </w:rPr>
        <w:t xml:space="preserve">“Direttive in materia di controlli sulle dichiarazioni sostitutive rese ai sensi degli artt. 46 e 47 del DPR 445/00”</w:t>
      </w:r>
      <w:r w:rsidDel="00000000" w:rsidR="00000000" w:rsidRPr="00000000">
        <w:rPr>
          <w:rFonts w:ascii="Times New Roman" w:cs="Times New Roman" w:eastAsia="Times New Roman" w:hAnsi="Times New Roman"/>
          <w:color w:val="000000"/>
          <w:rtl w:val="0"/>
        </w:rPr>
        <w:t xml:space="preserve"> - </w:t>
      </w:r>
      <w:r w:rsidDel="00000000" w:rsidR="00000000" w:rsidRPr="00000000">
        <w:rPr>
          <w:rFonts w:ascii="Times New Roman" w:cs="Times New Roman" w:eastAsia="Times New Roman" w:hAnsi="Times New Roman"/>
          <w:rtl w:val="0"/>
        </w:rPr>
        <w:t xml:space="preserve">le quali trovano applicazione anche con riferimento all’attività di controllo sulla veridicità delle dichiarazioni sostitutive effettuata dalle Istituzioni scolastiche e formative provinciali, si riproducono qui di seguito le istruzioni in merito a:</w:t>
      </w:r>
      <w:r w:rsidDel="00000000" w:rsidR="00000000" w:rsidRPr="00000000">
        <w:rPr>
          <w:rtl w:val="0"/>
        </w:rPr>
      </w:r>
    </w:p>
    <w:p w:rsidR="00000000" w:rsidDel="00000000" w:rsidP="00000000" w:rsidRDefault="00000000" w:rsidRPr="00000000" w14:paraId="00000071">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a campione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2">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mirato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3">
      <w:pPr>
        <w:spacing w:after="142" w:before="100" w:line="288"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controllo a tappeto</w:t>
      </w:r>
      <w:r w:rsidDel="00000000" w:rsidR="00000000" w:rsidRPr="00000000">
        <w:rPr>
          <w:rtl w:val="0"/>
        </w:rPr>
        <w:t xml:space="preserve">.</w:t>
      </w:r>
    </w:p>
    <w:p w:rsidR="00000000" w:rsidDel="00000000" w:rsidP="00000000" w:rsidRDefault="00000000" w:rsidRPr="00000000" w14:paraId="00000074">
      <w:pPr>
        <w:spacing w:after="142" w:before="100" w:line="240" w:lineRule="auto"/>
        <w:jc w:val="both"/>
        <w:rPr/>
      </w:pPr>
      <w:r w:rsidDel="00000000" w:rsidR="00000000" w:rsidRPr="00000000">
        <w:rPr>
          <w:rtl w:val="0"/>
        </w:rPr>
      </w:r>
    </w:p>
    <w:tbl>
      <w:tblPr>
        <w:tblStyle w:val="Table2"/>
        <w:tblW w:w="9602.0" w:type="dxa"/>
        <w:jc w:val="left"/>
        <w:tblInd w:w="-1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2"/>
        <w:tblGridChange w:id="0">
          <w:tblGrid>
            <w:gridCol w:w="9602"/>
          </w:tblGrid>
        </w:tblGridChange>
      </w:tblGrid>
      <w:tr>
        <w:trPr>
          <w:cantSplit w:val="0"/>
          <w:trHeight w:val="581.171875" w:hRule="atLeast"/>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75">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“A CAMPIONE” </w:t>
            </w:r>
          </w:p>
        </w:tc>
      </w:tr>
    </w:tbl>
    <w:p w:rsidR="00000000" w:rsidDel="00000000" w:rsidP="00000000" w:rsidRDefault="00000000" w:rsidRPr="00000000" w14:paraId="00000076">
      <w:pPr>
        <w:spacing w:after="0" w:before="10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0" w:before="100" w:line="288" w:lineRule="auto"/>
        <w:jc w:val="both"/>
        <w:rPr/>
      </w:pPr>
      <w:r w:rsidDel="00000000" w:rsidR="00000000" w:rsidRPr="00000000">
        <w:rPr>
          <w:rFonts w:ascii="Times New Roman" w:cs="Times New Roman" w:eastAsia="Times New Roman" w:hAnsi="Times New Roman"/>
          <w:rtl w:val="0"/>
        </w:rPr>
        <w:t xml:space="preserve">Considerato che la legge non obbliga l’amministrazione a procedere ad una verifica sistematica in ordine alla veridicità del contenuto di tutte le dichiarazioni sostitutive rese, </w:t>
      </w:r>
      <w:r w:rsidDel="00000000" w:rsidR="00000000" w:rsidRPr="00000000">
        <w:rPr>
          <w:rFonts w:ascii="Times New Roman" w:cs="Times New Roman" w:eastAsia="Times New Roman" w:hAnsi="Times New Roman"/>
          <w:u w:val="single"/>
          <w:rtl w:val="0"/>
        </w:rPr>
        <w:t xml:space="preserve">di norma</w:t>
      </w:r>
      <w:r w:rsidDel="00000000" w:rsidR="00000000" w:rsidRPr="00000000">
        <w:rPr>
          <w:rFonts w:ascii="Times New Roman" w:cs="Times New Roman" w:eastAsia="Times New Roman" w:hAnsi="Times New Roman"/>
          <w:rtl w:val="0"/>
        </w:rPr>
        <w:t xml:space="preserve"> si procede con controlli a campione.</w:t>
      </w:r>
      <w:r w:rsidDel="00000000" w:rsidR="00000000" w:rsidRPr="00000000">
        <w:rPr>
          <w:rtl w:val="0"/>
        </w:rPr>
      </w:r>
    </w:p>
    <w:p w:rsidR="00000000" w:rsidDel="00000000" w:rsidP="00000000" w:rsidRDefault="00000000" w:rsidRPr="00000000" w14:paraId="00000078">
      <w:pPr>
        <w:spacing w:after="0" w:before="1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L’istituzione sottopone al controllo un </w:t>
      </w:r>
      <w:r w:rsidDel="00000000" w:rsidR="00000000" w:rsidRPr="00000000">
        <w:rPr>
          <w:rFonts w:ascii="Times New Roman" w:cs="Times New Roman" w:eastAsia="Times New Roman" w:hAnsi="Times New Roman"/>
          <w:b w:val="1"/>
          <w:rtl w:val="0"/>
        </w:rPr>
        <w:t xml:space="preserve">campione minimo pari al 3%</w:t>
      </w:r>
      <w:r w:rsidDel="00000000" w:rsidR="00000000" w:rsidRPr="00000000">
        <w:rPr>
          <w:rFonts w:ascii="Times New Roman" w:cs="Times New Roman" w:eastAsia="Times New Roman" w:hAnsi="Times New Roman"/>
          <w:rtl w:val="0"/>
        </w:rPr>
        <w:t xml:space="preserve"> delle pratiche di propria competenza. La percentuale minima da garantire, pari al 3%, è previsto al punto 4 del deliberato della deliberazione della Giunta provinciale n. 2488 di data 22.12.2022. L’istituzione potrà fissare, qualora lo ritenga opportuno o necessario sia in ragione del numero medio che della complessità delle pratiche di rispettiva competenza, una percentuale superiore.Il campione minimo (pari al 3% o ad altra diversa percentuale) è determinato sulla base delle seguenti due regole basilari:</w:t>
      </w:r>
    </w:p>
    <w:p w:rsidR="00000000" w:rsidDel="00000000" w:rsidP="00000000" w:rsidRDefault="00000000" w:rsidRPr="00000000" w14:paraId="0000007A">
      <w:pPr>
        <w:numPr>
          <w:ilvl w:val="0"/>
          <w:numId w:val="3"/>
        </w:numPr>
        <w:spacing w:after="0" w:afterAutospacing="0" w:before="100" w:line="288" w:lineRule="auto"/>
        <w:ind w:left="566.9291338582675"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 un arco temporale </w:t>
      </w:r>
      <w:r w:rsidDel="00000000" w:rsidR="00000000" w:rsidRPr="00000000">
        <w:rPr>
          <w:rFonts w:ascii="Times New Roman" w:cs="Times New Roman" w:eastAsia="Times New Roman" w:hAnsi="Times New Roman"/>
          <w:b w:val="1"/>
          <w:rtl w:val="0"/>
        </w:rPr>
        <w:t xml:space="preserve">annuale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B">
      <w:pPr>
        <w:numPr>
          <w:ilvl w:val="0"/>
          <w:numId w:val="3"/>
        </w:numPr>
        <w:spacing w:after="0" w:before="0" w:beforeAutospacing="0" w:line="288" w:lineRule="auto"/>
        <w:ind w:left="566.9291338582675"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quale percentuale </w:t>
      </w:r>
      <w:r w:rsidDel="00000000" w:rsidR="00000000" w:rsidRPr="00000000">
        <w:rPr>
          <w:rFonts w:ascii="Times New Roman" w:cs="Times New Roman" w:eastAsia="Times New Roman" w:hAnsi="Times New Roman"/>
          <w:b w:val="1"/>
          <w:rtl w:val="0"/>
        </w:rPr>
        <w:t xml:space="preserve">sul totale delle pratiche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trattate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dall’istituzione</w:t>
      </w:r>
      <w:r w:rsidDel="00000000" w:rsidR="00000000" w:rsidRPr="00000000">
        <w:rPr>
          <w:rFonts w:ascii="Times New Roman" w:cs="Times New Roman" w:eastAsia="Times New Roman" w:hAnsi="Times New Roman"/>
          <w:rtl w:val="0"/>
        </w:rPr>
        <w:t xml:space="preserve"> che comportano l’acquisizione di dichiarazioni sostitutive: non è pertanto rapportato al numero totale delle dichiarazioni ricevute (infatti, ancorché ogni pratica possa contenere una pluralità di dichiarazioni sostitutive, ciò che rileva è il numero di pratiche verificate).</w:t>
      </w:r>
      <w:r w:rsidDel="00000000" w:rsidR="00000000" w:rsidRPr="00000000">
        <w:rPr>
          <w:rtl w:val="0"/>
        </w:rPr>
      </w:r>
    </w:p>
    <w:p w:rsidR="00000000" w:rsidDel="00000000" w:rsidP="00000000" w:rsidRDefault="00000000" w:rsidRPr="00000000" w14:paraId="0000007C">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Fissata la percentuale di campionamento sul totale indistinto di pratiche trattate, rientra nella responsabilità del Dirigente dell’istituzione garantire che, in concreto, i controlli vengano effettuati avuto riguardo ad un campione rappresentativo delle varie tipologie dei procedimenti e delle attività che comportano l’acquisizione di dichiarazioni sostitutive, evitando la concentrazione dei controlli su un’unica o su poche tipologie di procedimento o di attività.</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controllo a campione ciascuna pratica assoggettata a controllo va verificata con riferimento a tutte le dichiarazioni sostitutive in essa presenti, fermo restando quanto diversamente disposto relativamente ai controlli sulle dichiarazioni I.C.E.F. (vedi delibera Giunta provinciale n. 2</w:t>
      </w:r>
      <w:r w:rsidDel="00000000" w:rsidR="00000000" w:rsidRPr="00000000">
        <w:rPr>
          <w:rFonts w:ascii="Times New Roman" w:cs="Times New Roman" w:eastAsia="Times New Roman" w:hAnsi="Times New Roman"/>
          <w:rtl w:val="0"/>
        </w:rPr>
        <w:t xml:space="preserve">488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paragrafo 6).</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campione delle pratiche da assoggettare a controllo, nel rispetto della percentuale minima stabilita dall’istituzione, deve essere estratto dal Responsabile del procedimento amministrativo con procedure idonee a garantire un’effettiva selezione casuale.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delle pratiche da assoggettare a controllo può essere pertanto effettuata: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periodico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riferito alle istanze presentate (o ai procedimenti avviati) nel periodo individuato come base temporale di riferimento per i controlli (es.: mese, trimestre…);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nei casi in cui sia fissato un unico termine di presentazione delle domande o di inizio del procedimento;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 sorteggio definito su base di individuazione numerica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rispetto alla percentuale di campionatura scelta (ad es.: una pratica ogni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pratiche avviate).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scelta del campione tramite sorteggio è effettuata dal Responsabile del procedimento, assistito da due testimoni appartenenti all’istituzione. Di tali operazioni viene redatto un succinto “verbale di estrazione del campione”.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rPr>
      </w:pPr>
      <w:r w:rsidDel="00000000" w:rsidR="00000000" w:rsidRPr="00000000">
        <w:rPr>
          <w:rtl w:val="0"/>
        </w:rPr>
      </w:r>
    </w:p>
    <w:tbl>
      <w:tblPr>
        <w:tblStyle w:val="Table3"/>
        <w:tblW w:w="9655.0" w:type="dxa"/>
        <w:jc w:val="right"/>
        <w:tblBorders>
          <w:top w:color="000000" w:space="0" w:sz="6" w:val="single"/>
          <w:left w:color="000000" w:space="0" w:sz="6" w:val="single"/>
          <w:bottom w:color="000000" w:space="0" w:sz="6" w:val="single"/>
          <w:insideH w:color="000000" w:space="0" w:sz="6" w:val="single"/>
        </w:tblBorders>
        <w:tblLayout w:type="fixed"/>
        <w:tblLook w:val="0000"/>
      </w:tblPr>
      <w:tblGrid>
        <w:gridCol w:w="3544"/>
        <w:gridCol w:w="3261"/>
        <w:gridCol w:w="2850"/>
        <w:tblGridChange w:id="0">
          <w:tblGrid>
            <w:gridCol w:w="3544"/>
            <w:gridCol w:w="3261"/>
            <w:gridCol w:w="2850"/>
          </w:tblGrid>
        </w:tblGridChange>
      </w:tblGrid>
      <w:tr>
        <w:trPr>
          <w:cantSplit w:val="0"/>
          <w:tblHeader w:val="0"/>
        </w:trPr>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86">
            <w:pPr>
              <w:spacing w:after="0" w:before="100" w:line="288" w:lineRule="auto"/>
              <w:jc w:val="center"/>
              <w:rPr/>
            </w:pPr>
            <w:r w:rsidDel="00000000" w:rsidR="00000000" w:rsidRPr="00000000">
              <w:rPr>
                <w:rFonts w:ascii="Times New Roman" w:cs="Times New Roman" w:eastAsia="Times New Roman" w:hAnsi="Times New Roman"/>
                <w:b w:val="1"/>
                <w:rtl w:val="0"/>
              </w:rPr>
              <w:t xml:space="preserve">Procedimento amministrativo</w:t>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Fonts w:ascii="Times New Roman" w:cs="Times New Roman" w:eastAsia="Times New Roman" w:hAnsi="Times New Roman"/>
                <w:b w:val="1"/>
                <w:sz w:val="24"/>
                <w:szCs w:val="24"/>
                <w:vertAlign w:val="superscript"/>
              </w:rPr>
              <w:footnoteReference w:customMarkFollows="0" w:id="3"/>
            </w:r>
            <w:r w:rsidDel="00000000" w:rsidR="00000000" w:rsidRPr="00000000">
              <w:rPr>
                <w:rtl w:val="0"/>
              </w:rPr>
            </w:r>
          </w:p>
        </w:tc>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87">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Metodologia di </w:t>
            </w:r>
          </w:p>
          <w:p w:rsidR="00000000" w:rsidDel="00000000" w:rsidP="00000000" w:rsidRDefault="00000000" w:rsidRPr="00000000" w14:paraId="00000088">
            <w:pPr>
              <w:spacing w:after="0" w:before="100" w:line="288" w:lineRule="auto"/>
              <w:jc w:val="center"/>
              <w:rPr/>
            </w:pPr>
            <w:r w:rsidDel="00000000" w:rsidR="00000000" w:rsidRPr="00000000">
              <w:rPr>
                <w:rFonts w:ascii="Times New Roman" w:cs="Times New Roman" w:eastAsia="Times New Roman" w:hAnsi="Times New Roman"/>
                <w:b w:val="1"/>
                <w:rtl w:val="0"/>
              </w:rPr>
              <w:t xml:space="preserve">campionamento</w:t>
            </w:r>
            <w:r w:rsidDel="00000000" w:rsidR="00000000" w:rsidRPr="00000000">
              <w:rPr>
                <w:rFonts w:ascii="Times New Roman" w:cs="Times New Roman" w:eastAsia="Times New Roman" w:hAnsi="Times New Roman"/>
                <w:b w:val="1"/>
                <w:sz w:val="24"/>
                <w:szCs w:val="24"/>
                <w:vertAlign w:val="superscript"/>
              </w:rPr>
              <w:footnoteReference w:customMarkFollows="0" w:id="4"/>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right w:w="57.0" w:type="dxa"/>
            </w:tcMar>
            <w:vAlign w:val="center"/>
          </w:tcPr>
          <w:p w:rsidR="00000000" w:rsidDel="00000000" w:rsidP="00000000" w:rsidRDefault="00000000" w:rsidRPr="00000000" w14:paraId="00000089">
            <w:pPr>
              <w:spacing w:after="0" w:before="100" w:line="288" w:lineRule="auto"/>
              <w:jc w:val="center"/>
              <w:rPr/>
            </w:pPr>
            <w:r w:rsidDel="00000000" w:rsidR="00000000" w:rsidRPr="00000000">
              <w:rPr>
                <w:rFonts w:ascii="Times New Roman" w:cs="Times New Roman" w:eastAsia="Times New Roman" w:hAnsi="Times New Roman"/>
                <w:b w:val="1"/>
                <w:rtl w:val="0"/>
              </w:rPr>
              <w:t xml:space="preserve">Modalità organizzative</w:t>
            </w:r>
            <w:r w:rsidDel="00000000" w:rsidR="00000000" w:rsidRPr="00000000">
              <w:rPr>
                <w:rFonts w:ascii="Times New Roman" w:cs="Times New Roman" w:eastAsia="Times New Roman" w:hAnsi="Times New Roman"/>
                <w:b w:val="1"/>
                <w:sz w:val="24"/>
                <w:szCs w:val="24"/>
                <w:vertAlign w:val="superscript"/>
              </w:rPr>
              <w:footnoteReference w:customMarkFollows="0" w:id="5"/>
            </w:r>
            <w:r w:rsidDel="00000000" w:rsidR="00000000" w:rsidRPr="00000000">
              <w:rPr>
                <w:rtl w:val="0"/>
              </w:rPr>
            </w:r>
          </w:p>
        </w:tc>
      </w:tr>
      <w:tr>
        <w:trPr>
          <w:cantSplit w:val="0"/>
          <w:trHeight w:val="627.1484374999999"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8A">
            <w:pPr>
              <w:spacing w:after="0" w:before="100" w:line="288"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8C">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8D">
            <w:pPr>
              <w:spacing w:after="0" w:before="100" w:line="288" w:lineRule="auto"/>
              <w:rPr/>
            </w:pPr>
            <w:r w:rsidDel="00000000" w:rsidR="00000000" w:rsidRPr="00000000">
              <w:rPr>
                <w:rtl w:val="0"/>
              </w:rPr>
            </w:r>
          </w:p>
        </w:tc>
      </w:tr>
      <w:tr>
        <w:trPr>
          <w:cantSplit w:val="0"/>
          <w:trHeight w:val="408"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8E">
            <w:pPr>
              <w:spacing w:after="0" w:before="100" w:line="288" w:lineRule="auto"/>
              <w:jc w:val="center"/>
              <w:rPr>
                <w:sz w:val="20"/>
                <w:szCs w:val="20"/>
              </w:rPr>
            </w:pPr>
            <w:r w:rsidDel="00000000" w:rsidR="00000000" w:rsidRPr="00000000">
              <w:rPr>
                <w:rtl w:val="0"/>
              </w:rPr>
            </w:r>
          </w:p>
          <w:p w:rsidR="00000000" w:rsidDel="00000000" w:rsidP="00000000" w:rsidRDefault="00000000" w:rsidRPr="00000000" w14:paraId="0000008F">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90">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91">
            <w:pPr>
              <w:spacing w:after="0" w:before="100" w:line="288" w:lineRule="auto"/>
              <w:rPr/>
            </w:pPr>
            <w:r w:rsidDel="00000000" w:rsidR="00000000" w:rsidRPr="00000000">
              <w:rPr>
                <w:rtl w:val="0"/>
              </w:rPr>
            </w:r>
          </w:p>
        </w:tc>
      </w:tr>
      <w:tr>
        <w:trPr>
          <w:cantSplit w:val="0"/>
          <w:trHeight w:val="465" w:hRule="atLeast"/>
          <w:tblHeader w:val="0"/>
        </w:trPr>
        <w:tc>
          <w:tcPr>
            <w:tcBorders>
              <w:left w:color="000000" w:space="0" w:sz="6" w:val="single"/>
              <w:bottom w:color="000000" w:space="0" w:sz="6" w:val="single"/>
            </w:tcBorders>
            <w:shd w:fill="auto" w:val="clear"/>
            <w:tcMar>
              <w:top w:w="0.0" w:type="dxa"/>
            </w:tcMar>
          </w:tcPr>
          <w:p w:rsidR="00000000" w:rsidDel="00000000" w:rsidP="00000000" w:rsidRDefault="00000000" w:rsidRPr="00000000" w14:paraId="00000092">
            <w:pPr>
              <w:spacing w:after="0" w:before="100" w:line="288" w:lineRule="auto"/>
              <w:jc w:val="center"/>
              <w:rPr>
                <w:sz w:val="20"/>
                <w:szCs w:val="20"/>
              </w:rPr>
            </w:pPr>
            <w:r w:rsidDel="00000000" w:rsidR="00000000" w:rsidRPr="00000000">
              <w:rPr>
                <w:rtl w:val="0"/>
              </w:rPr>
            </w:r>
          </w:p>
          <w:p w:rsidR="00000000" w:rsidDel="00000000" w:rsidP="00000000" w:rsidRDefault="00000000" w:rsidRPr="00000000" w14:paraId="00000093">
            <w:pPr>
              <w:spacing w:after="0" w:before="100" w:line="288" w:lineRule="auto"/>
              <w:jc w:val="center"/>
              <w:rPr/>
            </w:pPr>
            <w:r w:rsidDel="00000000" w:rsidR="00000000" w:rsidRPr="00000000">
              <w:rPr>
                <w:rtl w:val="0"/>
              </w:rPr>
            </w:r>
          </w:p>
        </w:tc>
        <w:tc>
          <w:tcPr>
            <w:tcBorders>
              <w:left w:color="000000" w:space="0" w:sz="6" w:val="single"/>
              <w:bottom w:color="000000" w:space="0" w:sz="6" w:val="single"/>
            </w:tcBorders>
            <w:shd w:fill="auto" w:val="clear"/>
            <w:tcMar>
              <w:top w:w="60.0" w:type="dxa"/>
              <w:left w:w="52.0" w:type="dxa"/>
              <w:bottom w:w="60.0" w:type="dxa"/>
              <w:right w:w="60.0" w:type="dxa"/>
            </w:tcMar>
          </w:tcPr>
          <w:p w:rsidR="00000000" w:rsidDel="00000000" w:rsidP="00000000" w:rsidRDefault="00000000" w:rsidRPr="00000000" w14:paraId="00000094">
            <w:pPr>
              <w:spacing w:after="0" w:before="100" w:line="288" w:lineRule="auto"/>
              <w:rPr/>
            </w:pPr>
            <w:r w:rsidDel="00000000" w:rsidR="00000000" w:rsidRPr="00000000">
              <w:rPr>
                <w:rtl w:val="0"/>
              </w:rPr>
            </w:r>
          </w:p>
        </w:tc>
        <w:tc>
          <w:tcPr>
            <w:tcBorders>
              <w:left w:color="000000" w:space="0" w:sz="6" w:val="single"/>
              <w:bottom w:color="000000" w:space="0" w:sz="6" w:val="single"/>
              <w:right w:color="000000" w:space="0" w:sz="6" w:val="single"/>
            </w:tcBorders>
            <w:shd w:fill="auto" w:val="clear"/>
            <w:tcMar>
              <w:top w:w="0.0" w:type="dxa"/>
              <w:right w:w="57.0" w:type="dxa"/>
            </w:tcMar>
          </w:tcPr>
          <w:p w:rsidR="00000000" w:rsidDel="00000000" w:rsidP="00000000" w:rsidRDefault="00000000" w:rsidRPr="00000000" w14:paraId="00000095">
            <w:pPr>
              <w:spacing w:after="0" w:before="100" w:line="288" w:lineRule="auto"/>
              <w:rPr/>
            </w:pPr>
            <w:r w:rsidDel="00000000" w:rsidR="00000000" w:rsidRPr="00000000">
              <w:rPr>
                <w:rtl w:val="0"/>
              </w:rPr>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0"/>
          <w:szCs w:val="20"/>
          <w:rtl w:val="0"/>
        </w:rPr>
        <w:t xml:space="preserve">EVENTUALE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rispetto dell’imparzialità e della casualità, con riferimento ai sotto riportati procedimenti amministrativi, sono individuate le seguenti metodologie di campionamento delle pratiche, diverse  da quelle sopra indicate e stabilite dalla Giunta provinciale, ritenendo che nessuna delle stesse sia adeguata in relazione alla natura delle pratiche stesse, alla loro consistenza numerica, alla tempistica di presentazione delle domande o delle dichiarazioni sostitutive ovvero alle seguenti circostanze oggettivamente comprovabili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53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A">
            <w:pPr>
              <w:shd w:fill="d9d9d9" w:val="clear"/>
              <w:spacing w:after="0" w:before="100" w:line="288" w:lineRule="auto"/>
              <w:rPr/>
            </w:pPr>
            <w:r w:rsidDel="00000000" w:rsidR="00000000" w:rsidRPr="00000000">
              <w:rPr>
                <w:b w:val="1"/>
                <w:rtl w:val="0"/>
              </w:rPr>
              <w:t xml:space="preserve">Procedimento amministrativo</w:t>
            </w:r>
            <w:r w:rsidDel="00000000" w:rsidR="00000000" w:rsidRPr="00000000">
              <w:rPr>
                <w:rtl w:val="0"/>
              </w:rPr>
              <w:t xml:space="preserve">:</w:t>
            </w:r>
            <w:r w:rsidDel="00000000" w:rsidR="00000000" w:rsidRPr="00000000">
              <w:rPr>
                <w:sz w:val="24"/>
                <w:szCs w:val="24"/>
                <w:vertAlign w:val="superscript"/>
              </w:rPr>
              <w:footnoteReference w:customMarkFollows="0" w:id="7"/>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B">
            <w:pPr>
              <w:shd w:fill="d9d9d9" w:val="clear"/>
              <w:spacing w:after="0" w:before="100" w:line="288" w:lineRule="auto"/>
              <w:rPr/>
            </w:pPr>
            <w:r w:rsidDel="00000000" w:rsidR="00000000" w:rsidRPr="00000000">
              <w:rPr>
                <w:b w:val="1"/>
                <w:rtl w:val="0"/>
              </w:rPr>
              <w:t xml:space="preserve">Percentuale campione</w:t>
            </w:r>
            <w:r w:rsidDel="00000000" w:rsidR="00000000" w:rsidRPr="00000000">
              <w:rPr>
                <w:rtl w:val="0"/>
              </w:rPr>
              <w:t xml:space="preserve">:</w:t>
            </w:r>
            <w:r w:rsidDel="00000000" w:rsidR="00000000" w:rsidRPr="00000000">
              <w:rPr>
                <w:sz w:val="24"/>
                <w:szCs w:val="24"/>
                <w:vertAlign w:val="superscript"/>
              </w:rPr>
              <w:footnoteReference w:customMarkFollows="0" w:id="8"/>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C">
            <w:pPr>
              <w:shd w:fill="d9d9d9" w:val="clear"/>
              <w:spacing w:after="0" w:before="100" w:line="288" w:lineRule="auto"/>
              <w:rPr/>
            </w:pPr>
            <w:r w:rsidDel="00000000" w:rsidR="00000000" w:rsidRPr="00000000">
              <w:rPr>
                <w:b w:val="1"/>
                <w:rtl w:val="0"/>
              </w:rPr>
              <w:t xml:space="preserve">Metodologia di campionamento/modalità organizzative</w:t>
            </w:r>
            <w:r w:rsidDel="00000000" w:rsidR="00000000" w:rsidRPr="00000000">
              <w:rPr>
                <w:rtl w:val="0"/>
              </w:rPr>
              <w:t xml:space="preserve">:</w:t>
            </w:r>
            <w:r w:rsidDel="00000000" w:rsidR="00000000" w:rsidRPr="00000000">
              <w:rPr>
                <w:sz w:val="24"/>
                <w:szCs w:val="24"/>
                <w:vertAlign w:val="superscript"/>
              </w:rPr>
              <w:footnoteReference w:customMarkFollows="0" w:id="9"/>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09D">
            <w:pPr>
              <w:shd w:fill="d9d9d9" w:val="clear"/>
              <w:spacing w:after="0" w:before="100" w:line="288" w:lineRule="auto"/>
              <w:rPr/>
            </w:pPr>
            <w:r w:rsidDel="00000000" w:rsidR="00000000" w:rsidRPr="00000000">
              <w:rPr>
                <w:b w:val="1"/>
                <w:rtl w:val="0"/>
              </w:rPr>
              <w:t xml:space="preserve">Motivazione della diversa scelta compiuta</w:t>
            </w:r>
            <w:r w:rsidDel="00000000" w:rsidR="00000000" w:rsidRPr="00000000">
              <w:rPr>
                <w:rtl w:val="0"/>
              </w:rPr>
              <w:t xml:space="preserve">:</w:t>
            </w:r>
          </w:p>
          <w:p w:rsidR="00000000" w:rsidDel="00000000" w:rsidP="00000000" w:rsidRDefault="00000000" w:rsidRPr="00000000" w14:paraId="0000009E">
            <w:pPr>
              <w:shd w:fill="d9d9d9" w:val="clear"/>
              <w:spacing w:after="0" w:before="100" w:line="288" w:lineRule="auto"/>
              <w:rPr/>
            </w:pPr>
            <w:r w:rsidDel="00000000" w:rsidR="00000000" w:rsidRPr="00000000">
              <w:rPr>
                <w:rtl w:val="0"/>
              </w:rPr>
            </w:r>
          </w:p>
        </w:tc>
      </w:tr>
    </w:tbl>
    <w:p w:rsidR="00000000" w:rsidDel="00000000" w:rsidP="00000000" w:rsidRDefault="00000000" w:rsidRPr="00000000" w14:paraId="0000009F">
      <w:pPr>
        <w:spacing w:after="142"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before="100" w:line="288" w:lineRule="auto"/>
        <w:rPr>
          <w:rFonts w:ascii="Times New Roman" w:cs="Times New Roman" w:eastAsia="Times New Roman" w:hAnsi="Times New Roman"/>
        </w:rPr>
      </w:pPr>
      <w:r w:rsidDel="00000000" w:rsidR="00000000" w:rsidRPr="00000000">
        <w:rPr>
          <w:rtl w:val="0"/>
        </w:rPr>
      </w:r>
    </w:p>
    <w:tbl>
      <w:tblPr>
        <w:tblStyle w:val="Table5"/>
        <w:tblW w:w="953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35"/>
        <w:tblGridChange w:id="0">
          <w:tblGrid>
            <w:gridCol w:w="95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A1">
            <w:pPr>
              <w:spacing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MIRATI” </w:t>
            </w:r>
          </w:p>
        </w:tc>
      </w:tr>
    </w:tbl>
    <w:p w:rsidR="00000000" w:rsidDel="00000000" w:rsidP="00000000" w:rsidRDefault="00000000" w:rsidRPr="00000000" w14:paraId="000000A2">
      <w:pPr>
        <w:spacing w:after="142"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after="142"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precisato nella deliberazione della Giunta provinciale n. 2488/2022, i controlli mirati vengono effettuati </w:t>
      </w:r>
      <w:r w:rsidDel="00000000" w:rsidR="00000000" w:rsidRPr="00000000">
        <w:rPr>
          <w:rFonts w:ascii="Times New Roman" w:cs="Times New Roman" w:eastAsia="Times New Roman" w:hAnsi="Times New Roman"/>
          <w:rtl w:val="0"/>
        </w:rPr>
        <w:t xml:space="preserve">nei casi di ragionevole dubbio</w:t>
      </w:r>
      <w:r w:rsidDel="00000000" w:rsidR="00000000" w:rsidRPr="00000000">
        <w:rPr>
          <w:rFonts w:ascii="Times New Roman" w:cs="Times New Roman" w:eastAsia="Times New Roman" w:hAnsi="Times New Roman"/>
          <w:rtl w:val="0"/>
        </w:rPr>
        <w:t xml:space="preserve"> in ordine alla veridicità delle dichiarazioni sostitutive o comunque qualora emergano elementi tali da far ritenere che le dichiarazioni sostitutive configurino in modo non corretto stati, fatti o qualità dichiarati. In ogni caso il ragionevole dubbio deve essere adeguatamente motivato e non potrà fondarsi su generiche supposizioni. </w:t>
      </w:r>
    </w:p>
    <w:p w:rsidR="00000000" w:rsidDel="00000000" w:rsidP="00000000" w:rsidRDefault="00000000" w:rsidRPr="00000000" w14:paraId="000000A4">
      <w:pPr>
        <w:spacing w:after="142" w:before="100" w:line="288" w:lineRule="auto"/>
        <w:jc w:val="both"/>
        <w:rPr/>
      </w:pPr>
      <w:r w:rsidDel="00000000" w:rsidR="00000000" w:rsidRPr="00000000">
        <w:rPr>
          <w:rFonts w:ascii="Times New Roman" w:cs="Times New Roman" w:eastAsia="Times New Roman" w:hAnsi="Times New Roman"/>
          <w:rtl w:val="0"/>
        </w:rPr>
        <w:t xml:space="preserve">In tal caso non saranno oggetto di controllo </w:t>
      </w:r>
      <w:r w:rsidDel="00000000" w:rsidR="00000000" w:rsidRPr="00000000">
        <w:rPr>
          <w:rFonts w:ascii="Times New Roman" w:cs="Times New Roman" w:eastAsia="Times New Roman" w:hAnsi="Times New Roman"/>
          <w:u w:val="single"/>
          <w:rtl w:val="0"/>
        </w:rPr>
        <w:t xml:space="preserve">non</w:t>
      </w:r>
      <w:r w:rsidDel="00000000" w:rsidR="00000000" w:rsidRPr="00000000">
        <w:rPr>
          <w:rFonts w:ascii="Times New Roman" w:cs="Times New Roman" w:eastAsia="Times New Roman" w:hAnsi="Times New Roman"/>
          <w:rtl w:val="0"/>
        </w:rPr>
        <w:t xml:space="preserve"> il complesso delle dichiarazioni sostitutive attinenti ad una particolare pratica (es.: istanza di contributo del Sig./Sig.ra …....), </w:t>
      </w:r>
      <w:r w:rsidDel="00000000" w:rsidR="00000000" w:rsidRPr="00000000">
        <w:rPr>
          <w:rFonts w:ascii="Times New Roman" w:cs="Times New Roman" w:eastAsia="Times New Roman" w:hAnsi="Times New Roman"/>
          <w:u w:val="single"/>
          <w:rtl w:val="0"/>
        </w:rPr>
        <w:t xml:space="preserve">ma solo</w:t>
      </w:r>
      <w:r w:rsidDel="00000000" w:rsidR="00000000" w:rsidRPr="00000000">
        <w:rPr>
          <w:rFonts w:ascii="Times New Roman" w:cs="Times New Roman" w:eastAsia="Times New Roman" w:hAnsi="Times New Roman"/>
          <w:rtl w:val="0"/>
        </w:rPr>
        <w:t xml:space="preserve"> puntuali dichiarazioni rese su specifici oggetti.</w:t>
      </w:r>
      <w:r w:rsidDel="00000000" w:rsidR="00000000" w:rsidRPr="00000000">
        <w:rPr>
          <w:rtl w:val="0"/>
        </w:rPr>
      </w:r>
    </w:p>
    <w:p w:rsidR="00000000" w:rsidDel="00000000" w:rsidP="00000000" w:rsidRDefault="00000000" w:rsidRPr="00000000" w14:paraId="000000A5">
      <w:pPr>
        <w:spacing w:after="142" w:before="100" w:line="288" w:lineRule="auto"/>
        <w:jc w:val="both"/>
        <w:rPr/>
      </w:pPr>
      <w:r w:rsidDel="00000000" w:rsidR="00000000" w:rsidRPr="00000000">
        <w:rPr>
          <w:rFonts w:ascii="Times New Roman" w:cs="Times New Roman" w:eastAsia="Times New Roman" w:hAnsi="Times New Roman"/>
          <w:rtl w:val="0"/>
        </w:rPr>
        <w:t xml:space="preserve">Si evidenziano in particolare i seguenti </w:t>
      </w:r>
      <w:r w:rsidDel="00000000" w:rsidR="00000000" w:rsidRPr="00000000">
        <w:rPr>
          <w:rFonts w:ascii="Times New Roman" w:cs="Times New Roman" w:eastAsia="Times New Roman" w:hAnsi="Times New Roman"/>
          <w:b w:val="1"/>
          <w:rtl w:val="0"/>
        </w:rPr>
        <w:t xml:space="preserve">“indicatori di rischio”</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A6">
      <w:pPr>
        <w:numPr>
          <w:ilvl w:val="0"/>
          <w:numId w:val="9"/>
        </w:numPr>
        <w:spacing w:after="0" w:afterAutospacing="0" w:before="10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inattendibilità o imprecisione della dichiarazione sostitutiva;</w:t>
      </w:r>
    </w:p>
    <w:p w:rsidR="00000000" w:rsidDel="00000000" w:rsidP="00000000" w:rsidRDefault="00000000" w:rsidRPr="00000000" w14:paraId="000000A7">
      <w:pPr>
        <w:numPr>
          <w:ilvl w:val="0"/>
          <w:numId w:val="9"/>
        </w:numPr>
        <w:spacing w:after="0" w:afterAutospacing="0"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elementi in grado di far supporre l’incoerenza o la non veridicità delle informazioni rese;</w:t>
      </w:r>
    </w:p>
    <w:p w:rsidR="00000000" w:rsidDel="00000000" w:rsidP="00000000" w:rsidRDefault="00000000" w:rsidRPr="00000000" w14:paraId="000000A8">
      <w:pPr>
        <w:numPr>
          <w:ilvl w:val="0"/>
          <w:numId w:val="9"/>
        </w:numPr>
        <w:spacing w:after="0" w:afterAutospacing="0"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indeterminatezza della situazione descritta, con impossibilità di </w:t>
      </w:r>
      <w:r w:rsidDel="00000000" w:rsidR="00000000" w:rsidRPr="00000000">
        <w:rPr>
          <w:rFonts w:ascii="Times New Roman" w:cs="Times New Roman" w:eastAsia="Times New Roman" w:hAnsi="Times New Roman"/>
          <w:rtl w:val="0"/>
        </w:rPr>
        <w:t xml:space="preserve">raffrontarla</w:t>
      </w:r>
      <w:r w:rsidDel="00000000" w:rsidR="00000000" w:rsidRPr="00000000">
        <w:rPr>
          <w:rFonts w:ascii="Times New Roman" w:cs="Times New Roman" w:eastAsia="Times New Roman" w:hAnsi="Times New Roman"/>
          <w:rtl w:val="0"/>
        </w:rPr>
        <w:t xml:space="preserve"> a documenti o ad elementi di riscontro paragonabili;</w:t>
      </w:r>
    </w:p>
    <w:p w:rsidR="00000000" w:rsidDel="00000000" w:rsidP="00000000" w:rsidRDefault="00000000" w:rsidRPr="00000000" w14:paraId="000000A9">
      <w:pPr>
        <w:numPr>
          <w:ilvl w:val="0"/>
          <w:numId w:val="9"/>
        </w:numPr>
        <w:spacing w:after="142" w:before="0" w:beforeAutospacing="0" w:line="288" w:lineRule="auto"/>
        <w:ind w:left="708.6614173228347" w:hanging="283.46456692913375"/>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elementi sintomatici di contraddizione rispetto a dichiarazioni sostitutive aventi lo stesso o simile oggetto rilasciate in occasione di altri procedimenti o attività e/o risultanti dal confronto tra banche dati. </w:t>
      </w:r>
    </w:p>
    <w:p w:rsidR="00000000" w:rsidDel="00000000" w:rsidP="00000000" w:rsidRDefault="00000000" w:rsidRPr="00000000" w14:paraId="000000AA">
      <w:pPr>
        <w:spacing w:after="142"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NOTA: </w:t>
      </w:r>
      <w:r w:rsidDel="00000000" w:rsidR="00000000" w:rsidRPr="00000000">
        <w:rPr>
          <w:rFonts w:ascii="Times New Roman" w:cs="Times New Roman" w:eastAsia="Times New Roman" w:hAnsi="Times New Roman"/>
          <w:rtl w:val="0"/>
        </w:rPr>
        <w:t xml:space="preserve">il numero di controlli puntuali effettuati concorre al raggiungimento della percentuale di campionamento esclusivamente nel caso in cui tali controlli siano estesi a tutte le dichiarazioni sostitutive afferenti alla medesima pratica.</w:t>
      </w:r>
    </w:p>
    <w:p w:rsidR="00000000" w:rsidDel="00000000" w:rsidP="00000000" w:rsidRDefault="00000000" w:rsidRPr="00000000" w14:paraId="000000AB">
      <w:pPr>
        <w:spacing w:after="142" w:before="100" w:line="288" w:lineRule="auto"/>
        <w:jc w:val="both"/>
        <w:rPr>
          <w:rFonts w:ascii="Times New Roman" w:cs="Times New Roman" w:eastAsia="Times New Roman" w:hAnsi="Times New Roman"/>
        </w:rPr>
      </w:pPr>
      <w:r w:rsidDel="00000000" w:rsidR="00000000" w:rsidRPr="00000000">
        <w:rPr>
          <w:rtl w:val="0"/>
        </w:rPr>
      </w:r>
    </w:p>
    <w:tbl>
      <w:tblPr>
        <w:tblStyle w:val="Table6"/>
        <w:tblW w:w="9602.0" w:type="dxa"/>
        <w:jc w:val="left"/>
        <w:tblInd w:w="-12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2"/>
        <w:tblGridChange w:id="0">
          <w:tblGrid>
            <w:gridCol w:w="96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0AC">
            <w:pPr>
              <w:spacing w:after="0" w:before="100"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Disciplina dei controlli “A TAPPETO” </w:t>
            </w:r>
          </w:p>
        </w:tc>
      </w:tr>
    </w:tbl>
    <w:p w:rsidR="00000000" w:rsidDel="00000000" w:rsidP="00000000" w:rsidRDefault="00000000" w:rsidRPr="00000000" w14:paraId="000000AD">
      <w:pPr>
        <w:spacing w:after="0" w:before="100"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before="100" w:line="288" w:lineRule="auto"/>
        <w:jc w:val="both"/>
        <w:rPr/>
      </w:pPr>
      <w:r w:rsidDel="00000000" w:rsidR="00000000" w:rsidRPr="00000000">
        <w:rPr>
          <w:rFonts w:ascii="Times New Roman" w:cs="Times New Roman" w:eastAsia="Times New Roman" w:hAnsi="Times New Roman"/>
          <w:rtl w:val="0"/>
        </w:rPr>
        <w:t xml:space="preserve">Come precisato nella deliberazione della Giunta provinciale n. 2488/2022, nel caso di procedimenti o attività particolarmente complessi è possibile procedere ad una verifica sistematica di </w:t>
      </w:r>
      <w:r w:rsidDel="00000000" w:rsidR="00000000" w:rsidRPr="00000000">
        <w:rPr>
          <w:rFonts w:ascii="Times New Roman" w:cs="Times New Roman" w:eastAsia="Times New Roman" w:hAnsi="Times New Roman"/>
          <w:b w:val="1"/>
          <w:rtl w:val="0"/>
        </w:rPr>
        <w:t xml:space="preserve">tutte </w:t>
      </w:r>
      <w:r w:rsidDel="00000000" w:rsidR="00000000" w:rsidRPr="00000000">
        <w:rPr>
          <w:rFonts w:ascii="Times New Roman" w:cs="Times New Roman" w:eastAsia="Times New Roman" w:hAnsi="Times New Roman"/>
          <w:rtl w:val="0"/>
        </w:rPr>
        <w:t xml:space="preserve">le dichiarazioni sostitutive rese, purché tali operazioni non comportino un ingiustificato aggravamento del procedimento nei confronti del cittadino (ad es.: ritardo nel rilascio del provvedimento finale).</w:t>
      </w:r>
      <w:r w:rsidDel="00000000" w:rsidR="00000000" w:rsidRPr="00000000">
        <w:rPr>
          <w:rtl w:val="0"/>
        </w:rPr>
      </w:r>
    </w:p>
    <w:p w:rsidR="00000000" w:rsidDel="00000000" w:rsidP="00000000" w:rsidRDefault="00000000" w:rsidRPr="00000000" w14:paraId="000000AF">
      <w:pPr>
        <w:spacing w:after="0" w:before="100" w:line="288" w:lineRule="auto"/>
        <w:jc w:val="both"/>
        <w:rPr/>
      </w:pPr>
      <w:r w:rsidDel="00000000" w:rsidR="00000000" w:rsidRPr="00000000">
        <w:rPr>
          <w:rFonts w:ascii="Times New Roman" w:cs="Times New Roman" w:eastAsia="Times New Roman" w:hAnsi="Times New Roman"/>
          <w:rtl w:val="0"/>
        </w:rPr>
        <w:t xml:space="preserve">È altresì</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possibile</w:t>
      </w:r>
      <w:r w:rsidDel="00000000" w:rsidR="00000000" w:rsidRPr="00000000">
        <w:rPr>
          <w:rFonts w:ascii="Times New Roman" w:cs="Times New Roman" w:eastAsia="Times New Roman" w:hAnsi="Times New Roman"/>
          <w:rtl w:val="0"/>
        </w:rPr>
        <w:t xml:space="preserve"> ricorrere al controllo “a tappeto” anche quando dai controlli effettuati nell’arco temporale annuale precedente, in riferimento ad una medesima tipologia di dichiarazioni sostitutive, emergono </w:t>
      </w:r>
      <w:r w:rsidDel="00000000" w:rsidR="00000000" w:rsidRPr="00000000">
        <w:rPr>
          <w:rFonts w:ascii="Times New Roman" w:cs="Times New Roman" w:eastAsia="Times New Roman" w:hAnsi="Times New Roman"/>
          <w:b w:val="1"/>
          <w:rtl w:val="0"/>
        </w:rPr>
        <w:t xml:space="preserve">percentuali di dichiarazioni non veritiere superiori al 40% del totale di quelle controllate.</w:t>
      </w:r>
      <w:r w:rsidDel="00000000" w:rsidR="00000000" w:rsidRPr="00000000">
        <w:rPr>
          <w:rtl w:val="0"/>
        </w:rPr>
      </w:r>
    </w:p>
    <w:p w:rsidR="00000000" w:rsidDel="00000000" w:rsidP="00000000" w:rsidRDefault="00000000" w:rsidRPr="00000000" w14:paraId="000000B0">
      <w:pPr>
        <w:spacing w:after="0" w:before="100"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tale evenienza il Dirigente dell’istituzione, </w:t>
      </w:r>
      <w:r w:rsidDel="00000000" w:rsidR="00000000" w:rsidRPr="00000000">
        <w:rPr>
          <w:rFonts w:ascii="Times New Roman" w:cs="Times New Roman" w:eastAsia="Times New Roman" w:hAnsi="Times New Roman"/>
          <w:b w:val="1"/>
          <w:rtl w:val="0"/>
        </w:rPr>
        <w:t xml:space="preserve">con provvedimento motivato (determinazione)</w:t>
      </w:r>
      <w:r w:rsidDel="00000000" w:rsidR="00000000" w:rsidRPr="00000000">
        <w:rPr>
          <w:rFonts w:ascii="Times New Roman" w:cs="Times New Roman" w:eastAsia="Times New Roman" w:hAnsi="Times New Roman"/>
          <w:rtl w:val="0"/>
        </w:rPr>
        <w:t xml:space="preserve">, deve stabilire le misure organizzative necessarie ad effettuare il controllo in questione per l’anno in corso.</w:t>
      </w:r>
    </w:p>
    <w:p w:rsidR="00000000" w:rsidDel="00000000" w:rsidP="00000000" w:rsidRDefault="00000000" w:rsidRPr="00000000" w14:paraId="000000B1">
      <w:pPr>
        <w:spacing w:after="0" w:before="100" w:line="288" w:lineRule="auto"/>
        <w:jc w:val="both"/>
        <w:rPr>
          <w:rFonts w:ascii="Times New Roman" w:cs="Times New Roman" w:eastAsia="Times New Roman" w:hAnsi="Times New Roman"/>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0000000000002" w:top="776.692913385827" w:left="1133.8582677165355" w:right="1133.8582677165355" w:header="720.0000000000001" w:footer="720.0000000000001"/>
          <w:pgNumType w:start="1"/>
          <w:titlePg w:val="1"/>
        </w:sect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ALLEGATO C)</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617.0" w:type="dxa"/>
        <w:jc w:val="left"/>
        <w:tblInd w:w="-1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17"/>
        <w:tblGridChange w:id="0">
          <w:tblGrid>
            <w:gridCol w:w="961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42"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DI ESTRAZIONE DEL CAMPIONE”</w:t>
            </w:r>
            <w:r w:rsidDel="00000000" w:rsidR="00000000" w:rsidRPr="00000000">
              <w:rPr>
                <w:rtl w:val="0"/>
              </w:rPr>
            </w:r>
          </w:p>
        </w:tc>
      </w:tr>
    </w:tb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10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71 del decreto del Presidente della Repubblica n. 445 di data 28 dicembre 2000 (Testo Unico delle disposizioni legislative e regolamentari in materia di documentazione amministrativa), il quale disciplina le modalità dei controlli;</w:t>
      </w:r>
    </w:p>
    <w:p w:rsidR="00000000" w:rsidDel="00000000" w:rsidP="00000000" w:rsidRDefault="00000000" w:rsidRPr="00000000" w14:paraId="000000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deliberazione della Giunta provinciale n. </w:t>
      </w:r>
      <w:r w:rsidDel="00000000" w:rsidR="00000000" w:rsidRPr="00000000">
        <w:rPr>
          <w:rFonts w:ascii="Times New Roman" w:cs="Times New Roman" w:eastAsia="Times New Roman" w:hAnsi="Times New Roman"/>
          <w:rtl w:val="0"/>
        </w:rPr>
        <w:t xml:space="preserve">2488 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 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concernente le direttive per l’effettuazione dei controlli sulle dichiarazioni sostitutive di certificazioni e dell’atto di notorietà di cui agli articoli 46 e 47, con la quale è stato altresì determinato anche il campione minimo di pratiche da sottoporre a controllo;</w:t>
      </w:r>
    </w:p>
    <w:p w:rsidR="00000000" w:rsidDel="00000000" w:rsidP="00000000" w:rsidRDefault="00000000" w:rsidRPr="00000000" w14:paraId="000000B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vista la determinazione dirigenziale n. …..dd…….., con la quale si è definita la disciplina interna per l’effettuazione dei controlli sulle dichiarazioni sostitutive di certificazione dell’atto di notorietà di cui al D.P.R. n. 445/2000;</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presenza dei due testimoni sotto indicati</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Responsabile del procedimento amministrativo</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rispetto dei principi di imparzialità e di casualità nella selezione, ha effettuato in data ______________ il sorteggio delle pratiche da assoggettare a controllo con il seguente metodo:</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periodico;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sorteggio definito su base di individuazione numerica;</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metodologia _______________________________________________ fissata con determinazione dirigenziale n. __________ di data _______________;</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 sorteggiato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seguenti n. ________ pratiche afferenti al procedimento amministrativo</w:t>
      </w:r>
      <w:r w:rsidDel="00000000" w:rsidR="00000000" w:rsidRPr="00000000">
        <w:rPr>
          <w:rFonts w:ascii="Times New Roman" w:cs="Times New Roman" w:eastAsia="Times New Roman" w:hAnsi="Times New Roman"/>
          <w:b w:val="0"/>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1) _____________________________________________________________________;</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2)___________________________________________________________________</w:t>
      </w:r>
      <w:r w:rsidDel="00000000" w:rsidR="00000000" w:rsidRPr="00000000">
        <w:rPr>
          <w:rFonts w:ascii="Times New Roman" w:cs="Times New Roman" w:eastAsia="Times New Roman" w:hAnsi="Times New Roman"/>
          <w:rtl w:val="0"/>
        </w:rPr>
        <w:t xml:space="preserve">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3) ______________________________________________________________________;</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4) ______________________________________________________________________;</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5) ______________________________________________________________________;</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6) ______________________________________________________________________;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pratica 7) ______________________________________________________________________;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dà atto che la scelta del campione è stata effettuata dal Responsabile del procedimento Sig.</w:t>
      </w:r>
      <w:r w:rsidDel="00000000" w:rsidR="00000000" w:rsidRPr="00000000">
        <w:rPr>
          <w:rFonts w:ascii="Times New Roman" w:cs="Times New Roman" w:eastAsia="Times New Roman" w:hAnsi="Times New Roman"/>
          <w:rtl w:val="0"/>
        </w:rPr>
        <w:t xml:space="preserve">/Sig.ra 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l’assistenza di due testimoni:</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Sig./Sig.ra _________________________________</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Sig./Sig.ra _________________________________</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 responsabile del procedimento</w:t>
      </w:r>
      <w:r w:rsidDel="00000000" w:rsidR="00000000" w:rsidRPr="00000000">
        <w:rPr>
          <w:rFonts w:ascii="Times New Roman" w:cs="Times New Roman" w:eastAsia="Times New Roman" w:hAnsi="Times New Roman"/>
          <w:b w:val="0"/>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rtl w:val="0"/>
        </w:rPr>
        <w:t xml:space="preserve">_______________________________________________</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testimone 1)________________________________________________________________</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testimone 2)________________________________________________________________</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rPr>
        <w:sectPr>
          <w:footerReference r:id="rId13" w:type="default"/>
          <w:footerReference r:id="rId14" w:type="even"/>
          <w:type w:val="nextPage"/>
          <w:pgSz w:h="16838" w:w="11906" w:orient="portrait"/>
          <w:pgMar w:bottom="1440" w:top="777" w:left="1457" w:right="991" w:header="720" w:footer="720"/>
        </w:sectPr>
      </w:pPr>
      <w:r w:rsidDel="00000000" w:rsidR="00000000" w:rsidRPr="00000000">
        <w:rPr>
          <w:rFonts w:ascii="Times New Roman" w:cs="Times New Roman" w:eastAsia="Times New Roman" w:hAnsi="Times New Roman"/>
          <w:rtl w:val="0"/>
        </w:rPr>
        <w:t xml:space="preserve">Data ______________</w:t>
      </w:r>
    </w:p>
    <w:bookmarkStart w:colFirst="0" w:colLast="0" w:name="2et92p0" w:id="0"/>
    <w:bookmarkEnd w:id="0"/>
    <w:bookmarkStart w:colFirst="0" w:colLast="0" w:name="3znysh7" w:id="1"/>
    <w:bookmarkEnd w:id="1"/>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ALLEGATO D)</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617.0" w:type="dxa"/>
        <w:jc w:val="left"/>
        <w:tblInd w:w="-12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617"/>
        <w:tblGridChange w:id="0">
          <w:tblGrid>
            <w:gridCol w:w="961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42"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VERBALE DI CONCLUSIONE DEL CONTROLLO</w:t>
            </w:r>
            <w:r w:rsidDel="00000000" w:rsidR="00000000" w:rsidRPr="00000000">
              <w:rPr>
                <w:rFonts w:ascii="Times New Roman" w:cs="Times New Roman" w:eastAsia="Times New Roman" w:hAnsi="Times New Roman"/>
                <w:b w:val="1"/>
                <w:i w:val="0"/>
                <w:smallCaps w:val="0"/>
                <w:strike w:val="0"/>
                <w:color w:val="000080"/>
                <w:sz w:val="14"/>
                <w:szCs w:val="14"/>
                <w:u w:val="singl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superscript"/>
              </w:rPr>
              <w:footnoteReference w:customMarkFollows="0" w:id="13"/>
            </w:r>
            <w:r w:rsidDel="00000000" w:rsidR="00000000" w:rsidRPr="00000000">
              <w:rPr>
                <w:rtl w:val="0"/>
              </w:rPr>
            </w:r>
          </w:p>
        </w:tc>
      </w:tr>
    </w:tb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100" w:line="288" w:lineRule="auto"/>
        <w:ind w:left="720" w:right="0" w:hanging="360"/>
        <w:jc w:val="both"/>
        <w:rPr>
          <w:rFonts w:ascii="Times New Roman" w:cs="Times New Roman" w:eastAsia="Times New Roman" w:hAnsi="Times New Roman"/>
          <w:b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l’articolo 71 del decreto del Presidente della Repubblica n. 445 di data 28 dicembre 2000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Testo Unico delle disposizioni legislative e regolamentari in materia di documentazione amministrativa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quale disciplina le modalità dei controlli;</w:t>
      </w:r>
    </w:p>
    <w:p w:rsidR="00000000" w:rsidDel="00000000" w:rsidP="00000000" w:rsidRDefault="00000000" w:rsidRPr="00000000" w14:paraId="000000E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afterAutospacing="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deliberazione della Giunta provinciale n. </w:t>
      </w:r>
      <w:r w:rsidDel="00000000" w:rsidR="00000000" w:rsidRPr="00000000">
        <w:rPr>
          <w:rFonts w:ascii="Times New Roman" w:cs="Times New Roman" w:eastAsia="Times New Roman" w:hAnsi="Times New Roman"/>
          <w:rtl w:val="0"/>
        </w:rPr>
        <w:t xml:space="preserve">2488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data 2</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.12.20</w:t>
      </w:r>
      <w:r w:rsidDel="00000000" w:rsidR="00000000" w:rsidRPr="00000000">
        <w:rPr>
          <w:rFonts w:ascii="Times New Roman" w:cs="Times New Roman" w:eastAsia="Times New Roman" w:hAnsi="Times New Roman"/>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concernente le direttive per l’effettuazione dei controlli sulle dichiarazioni sostitutive di certificazioni e dell’atto di notorietà di cui agli articoli 46 e 47, con la quale è stato determinato anche il campione minimo di pratiche da sottoporre a controllo;</w:t>
      </w:r>
    </w:p>
    <w:p w:rsidR="00000000" w:rsidDel="00000000" w:rsidP="00000000" w:rsidRDefault="00000000" w:rsidRPr="00000000" w14:paraId="000000E3">
      <w:pPr>
        <w:numPr>
          <w:ilvl w:val="0"/>
          <w:numId w:val="14"/>
        </w:numPr>
        <w:spacing w:after="0" w:afterAutospacing="0" w:before="0" w:beforeAutospacing="0" w:line="288"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vista la determinazione dirigenziale n. …..dd…….., con la quale si è definita la disciplina interna per l’effettuazione dei controlli sulle dichiarazioni sostitutive di certificazione dell’atto di notorietà di cui al D.P.R. n. 445/2000;</w:t>
      </w:r>
    </w:p>
    <w:p w:rsidR="00000000" w:rsidDel="00000000" w:rsidP="00000000" w:rsidRDefault="00000000" w:rsidRPr="00000000" w14:paraId="000000E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beforeAutospacing="0" w:line="288"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verbale di sorteggio del campione di data __________________________;</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Responsabile del procedimento</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che, in riferimento al procedimento</w:t>
      </w:r>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 è stato effettuato nell’anno ________ il seguente tipo di controllo:</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CAMPIONE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PUNTUALE</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TAPPETO</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ESITI DEL CONTROLLO SONO STATI I SEGUENTI:</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w:t>
      </w:r>
      <w:r w:rsidDel="00000000" w:rsidR="00000000" w:rsidRPr="00000000">
        <w:rPr>
          <w:rFonts w:ascii="Times New Roman" w:cs="Times New Roman" w:eastAsia="Times New Roman" w:hAnsi="Times New Roman"/>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 responsabile del procedimento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340" w:right="0" w:hanging="3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8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F8">
      <w:pPr>
        <w:spacing w:after="240" w:before="100"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5" w:type="default"/>
      <w:headerReference r:id="rId16" w:type="even"/>
      <w:footerReference r:id="rId17" w:type="default"/>
      <w:type w:val="nextPage"/>
      <w:pgSz w:h="16838" w:w="11906" w:orient="portrait"/>
      <w:pgMar w:bottom="1440" w:top="777" w:left="1457" w:right="991"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3" name=""/>
              <a:graphic>
                <a:graphicData uri="http://schemas.microsoft.com/office/word/2010/wordprocessingShape">
                  <wps:wsp>
                    <wps:cNvSpPr/>
                    <wps:cNvPr id="4" name="Shape 4"/>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4" name=""/>
              <a:graphic>
                <a:graphicData uri="http://schemas.microsoft.com/office/word/2010/wordprocessingShape">
                  <wps:wsp>
                    <wps:cNvSpPr/>
                    <wps:cNvPr id="5" name="Shape 5"/>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2" name=""/>
              <a:graphic>
                <a:graphicData uri="http://schemas.microsoft.com/office/word/2010/wordprocessingShape">
                  <wps:wsp>
                    <wps:cNvSpPr/>
                    <wps:cNvPr id="3" name="Shape 3"/>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1" name=""/>
              <a:graphic>
                <a:graphicData uri="http://schemas.microsoft.com/office/word/2010/wordprocessingShape">
                  <wps:wsp>
                    <wps:cNvSpPr/>
                    <wps:cNvPr id="2" name="Shape 2"/>
                    <wps:spPr>
                      <a:xfrm>
                        <a:off x="5075173" y="3710785"/>
                        <a:ext cx="541655" cy="13843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14600" lIns="14600" spcFirstLastPara="1" rIns="14600" wrap="square" tIns="14600">
                      <a:noAutofit/>
                    </wps:bodyPr>
                  </wps:wsp>
                </a:graphicData>
              </a:graphic>
            </wp:anchor>
          </w:drawing>
        </mc:Choice>
        <mc:Fallback>
          <w:drawing>
            <wp:anchor allowOverlap="1" behindDoc="0" distB="0" distT="0" distL="24130" distR="24130" hidden="0" layoutInCell="1" locked="0" relativeHeight="0" simplePos="0">
              <wp:simplePos x="0" y="0"/>
              <wp:positionH relativeFrom="column">
                <wp:posOffset>-1269</wp:posOffset>
              </wp:positionH>
              <wp:positionV relativeFrom="paragraph">
                <wp:posOffset>0</wp:posOffset>
              </wp:positionV>
              <wp:extent cx="551180" cy="1479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51180" cy="147955"/>
                      </a:xfrm>
                      <a:prstGeom prst="rect"/>
                      <a:ln/>
                    </pic:spPr>
                  </pic:pic>
                </a:graphicData>
              </a:graphic>
            </wp:anchor>
          </w:drawing>
        </mc:Fallback>
      </mc:AlternateConten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1">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42" w:right="0" w:hanging="142"/>
        <w:jc w:val="both"/>
        <w:rPr>
          <w:rFonts w:ascii="Liberation Serif" w:cs="Liberation Serif" w:eastAsia="Liberation Serif" w:hAnsi="Liberation Serif"/>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Indicare la percentuale minima di pratiche da assoggettare al controllo come stabilita dalla Giunta provinciale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oppure una diversa percentuale discrezionalmente stabilita dall’istituzione purché maggiore al </w:t>
      </w:r>
      <w:r w:rsidDel="00000000" w:rsidR="00000000" w:rsidRPr="00000000">
        <w:rPr>
          <w:rFonts w:ascii="Times New Roman" w:cs="Times New Roman" w:eastAsia="Times New Roman" w:hAnsi="Times New Roman"/>
          <w:sz w:val="18"/>
          <w:szCs w:val="18"/>
          <w:rtl w:val="0"/>
        </w:rPr>
        <w:t xml:space="preserve">3% e comunque  in  misura  proporzionale  al  rischio e all'entita' del beneficio concesso.</w:t>
      </w:r>
      <w:r w:rsidDel="00000000" w:rsidR="00000000" w:rsidRPr="00000000">
        <w:rPr>
          <w:rtl w:val="0"/>
        </w:rPr>
      </w:r>
    </w:p>
  </w:footnote>
  <w:footnote w:id="2">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ab/>
        <w:t xml:space="preserve">Indicare la tipologia di controllo da effettuare sulle pratiche: “controllo a campione” o “controllo a tappeto”. E’ da escludersi, nel primo </w:t>
      </w:r>
      <w:r w:rsidDel="00000000" w:rsidR="00000000" w:rsidRPr="00000000">
        <w:rPr>
          <w:rFonts w:ascii="Times New Roman" w:cs="Times New Roman" w:eastAsia="Times New Roman" w:hAnsi="Times New Roman"/>
          <w:sz w:val="18"/>
          <w:szCs w:val="18"/>
          <w:rtl w:val="0"/>
        </w:rPr>
        <w:t xml:space="preserve">step</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 dell’attività di controllo, il c.d. “controllo mirato” in quanto effettuabile in una fase successiva ossia quando emergono </w:t>
      </w:r>
      <w:r w:rsidDel="00000000" w:rsidR="00000000" w:rsidRPr="00000000">
        <w:rPr>
          <w:rFonts w:ascii="Times New Roman" w:cs="Times New Roman" w:eastAsia="Times New Roman" w:hAnsi="Times New Roman"/>
          <w:sz w:val="18"/>
          <w:szCs w:val="18"/>
          <w:rtl w:val="0"/>
        </w:rPr>
        <w:t xml:space="preserve">ragionevoli</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 dubbi in ordine alla veridicità delle dichiarazioni sostitutive o </w:t>
      </w:r>
      <w:r w:rsidDel="00000000" w:rsidR="00000000" w:rsidRPr="00000000">
        <w:rPr>
          <w:rFonts w:ascii="Times New Roman" w:cs="Times New Roman" w:eastAsia="Times New Roman" w:hAnsi="Times New Roman"/>
          <w:i w:val="0"/>
          <w:smallCaps w:val="0"/>
          <w:strike w:val="0"/>
          <w:color w:val="000000"/>
          <w:sz w:val="18"/>
          <w:szCs w:val="18"/>
          <w:u w:val="none"/>
          <w:vertAlign w:val="baseline"/>
          <w:rtl w:val="0"/>
        </w:rPr>
        <w:t xml:space="preserve">quando emergono elementi tali da far ritenere che le dichiarazioni sostitutive configurano in modo non corretto stati, fatti e qualità dichiarati.</w:t>
      </w:r>
      <w:r w:rsidDel="00000000" w:rsidR="00000000" w:rsidRPr="00000000">
        <w:rPr>
          <w:rtl w:val="0"/>
        </w:rPr>
      </w:r>
    </w:p>
  </w:footnote>
  <w:footnote w:id="3">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4">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Indicare la metodologia utilizzata per individuare le pratiche da assoggettare al controllo scegliendo tra quelle individuate dalla Giunta provinciale: sorteggio periodico; sorteggio una tantum; sorteggio su base numerica.</w:t>
      </w:r>
    </w:p>
  </w:footnote>
  <w:footnote w:id="5">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le necessarie informazioni organizzative di dettaglio: es. nel caso di “sorteggio periodico” precisare se trattasi di sorteggio mensile, trimestrale ed ogni altra informazione ritenuta utile, compreso il termine finale di conclusione della procedura di controllo. In ogni caso deve essere garantita la tempestività del controllo laddove necessario.</w:t>
      </w:r>
    </w:p>
  </w:footnote>
  <w:footnote w:id="6">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Il seguente passaggio è da inserire (diversamente va depennato) solo nel caso in cui l’istituzione ritenga che, con riferimento a qualche procedimento amministrativo da indicare in modo preciso e puntuale, nessuna delle tipologie di sorteggio stabilite dalla Giunta provinciale sia adeguata in relazione alla natura delle pratiche, alla loro consistenza numerica, alla tempistica di presentazione delle domande o delle dichiarazioni sostitutive ovvero ad altre circostanze oggettivamente comprovabili. In tal caso l’istituzione, a propria discrezione e comunque nel rispetto dell’imparzialità e della casualità, deve individuare delle metodologie di campionamento delle pratiche diverse.</w:t>
      </w:r>
    </w:p>
  </w:footnote>
  <w:footnote w:id="7">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0" w:line="240" w:lineRule="auto"/>
        <w:ind w:left="142" w:right="0" w:hanging="142"/>
        <w:jc w:val="both"/>
        <w:rPr>
          <w:rFonts w:ascii="Times New Roman" w:cs="Times New Roman" w:eastAsia="Times New Roman" w:hAnsi="Times New Roman"/>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18"/>
          <w:szCs w:val="18"/>
          <w:u w:val="none"/>
          <w:shd w:fill="auto" w:val="clear"/>
          <w:vertAlign w:val="baseline"/>
          <w:rtl w:val="0"/>
        </w:rPr>
        <w:tab/>
        <w:t xml:space="preserve">Inserire la denominazione di ogni singolo procedimento amministrativo di competenza dell’istituzione che comporta l’acquisizione di dichiarazioni sostitutive di certificazione e/o dell’atto di notorietà.</w:t>
      </w:r>
    </w:p>
  </w:footnote>
  <w:footnote w:id="8">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40" w:lineRule="auto"/>
        <w:ind w:left="142" w:right="0" w:hanging="14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Indicare la percentuale minima del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stabilita dalla Giunta provinciale o una diversa percentuale, purché maggiore al </w:t>
      </w: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footnote>
  <w:footnote w:id="9">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d9d9d9" w:val="clear"/>
        <w:spacing w:after="0" w:before="100" w:line="240" w:lineRule="auto"/>
        <w:ind w:left="142" w:right="0" w:hanging="14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Indicare la metodologia di campionamento scelta discrezionalmente dall’istituzione e descrivere la metodologia organizzativa che verrà utilizzata.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la tipologia del procedimento amministrativo sul quale viene effettuato il controllo.</w:t>
      </w:r>
    </w:p>
  </w:footnote>
  <w:footnote w:id="11">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Indicare gli estremi identificativi delle singole pratiche.</w:t>
      </w:r>
    </w:p>
  </w:footnote>
  <w:footnote w:id="12">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La firma va apposta dal Responsabile del procedimento amministrativo, se individuato dal Dirigente dell’istituzione; diversamente è lo stesso Dirigente dell’istituzione che svolge il ruolo di Responsabile del procedimento amministrativo.</w:t>
      </w:r>
    </w:p>
  </w:footnote>
  <w:footnote w:id="13">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presente verbale va compilato con riferimento a ciascuna pratica controllata.</w:t>
      </w:r>
    </w:p>
  </w:footnote>
  <w:footnote w:id="14">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tipologia del procedimento, generalità dell’interessato e data di avvio dello stesso.</w:t>
      </w:r>
    </w:p>
  </w:footnote>
  <w:footnote w:id="15">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firma va apposta dal Responsabile del procedimento amministrativo, se individuato dal Dirigente dell’istituzione; diversamente è lo stesso Dirigente dell’istituzione che svolge il ruolo di Responsabile del procedimento amministrativo.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B">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4) Circolare n. 3/2024</w:t>
    </w:r>
    <w:r w:rsidDel="00000000" w:rsidR="00000000" w:rsidRPr="00000000">
      <w:rPr>
        <w:rtl w:val="0"/>
      </w:rPr>
    </w:r>
  </w:p>
  <w:p w:rsidR="00000000" w:rsidDel="00000000" w:rsidP="00000000" w:rsidRDefault="00000000" w:rsidRPr="00000000" w14:paraId="0000010C">
    <w:pPr>
      <w:widowControl w:val="0"/>
      <w:spacing w:before="51.920166015625" w:lineRule="auto"/>
      <w:ind w:right="-31.06299212598401"/>
      <w:jc w:val="right"/>
      <w:rPr>
        <w:rFonts w:ascii="Times New Roman" w:cs="Times New Roman" w:eastAsia="Times New Roman" w:hAnsi="Times New Roman"/>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D">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4) Circolare n. 3/2024</w:t>
    </w:r>
  </w:p>
  <w:p w:rsidR="00000000" w:rsidDel="00000000" w:rsidP="00000000" w:rsidRDefault="00000000" w:rsidRPr="00000000" w14:paraId="0000010E">
    <w:pPr>
      <w:widowControl w:val="0"/>
      <w:spacing w:before="51.920166015625" w:lineRule="auto"/>
      <w:ind w:right="-31.06299212598401"/>
      <w:jc w:val="right"/>
      <w:rPr>
        <w:rFonts w:ascii="Times New Roman" w:cs="Times New Roman" w:eastAsia="Times New Roman" w:hAnsi="Times New Roman"/>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F">
    <w:pPr>
      <w:ind w:right="-574.7244094488178"/>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6) Circolare n. 1/2023</w:t>
    </w:r>
  </w:p>
  <w:p w:rsidR="00000000" w:rsidDel="00000000" w:rsidP="00000000" w:rsidRDefault="00000000" w:rsidRPr="00000000" w14:paraId="00000110">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1">
    <w:pPr>
      <w:ind w:right="-7.795275590551114"/>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 4) Circolare n. 3/2024</w:t>
    </w:r>
    <w:r w:rsidDel="00000000" w:rsidR="00000000" w:rsidRPr="00000000">
      <w:rPr>
        <w:rtl w:val="0"/>
      </w:rPr>
    </w:r>
  </w:p>
  <w:p w:rsidR="00000000" w:rsidDel="00000000" w:rsidP="00000000" w:rsidRDefault="00000000" w:rsidRPr="00000000" w14:paraId="00000112">
    <w:pPr>
      <w:widowControl w:val="0"/>
      <w:spacing w:before="51.920166015625" w:lineRule="auto"/>
      <w:ind w:right="-31.06299212598401"/>
      <w:jc w:val="right"/>
      <w:rPr>
        <w:rFonts w:ascii="Times New Roman" w:cs="Times New Roman" w:eastAsia="Times New Roman" w:hAnsi="Times New Roman"/>
        <w:sz w:val="22"/>
        <w:szCs w:val="22"/>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sz w:val="22"/>
        <w:szCs w:val="22"/>
      </w:rPr>
    </w:lvl>
    <w:lvl w:ilvl="1">
      <w:start w:val="1"/>
      <w:numFmt w:val="bullet"/>
      <w:lvlText w:val="○"/>
      <w:lvlJc w:val="left"/>
      <w:pPr>
        <w:ind w:left="1080" w:hanging="360"/>
      </w:pPr>
      <w:rPr>
        <w:sz w:val="22"/>
        <w:szCs w:val="22"/>
        <w:u w:val="none"/>
      </w:rPr>
    </w:lvl>
    <w:lvl w:ilvl="2">
      <w:start w:val="1"/>
      <w:numFmt w:val="bullet"/>
      <w:lvlText w:val="■"/>
      <w:lvlJc w:val="left"/>
      <w:pPr>
        <w:ind w:left="1440" w:hanging="360"/>
      </w:pPr>
      <w:rPr/>
    </w:lvl>
    <w:lvl w:ilvl="3">
      <w:start w:val="1"/>
      <w:numFmt w:val="bullet"/>
      <w:lvlText w:val="●"/>
      <w:lvlJc w:val="left"/>
      <w:pPr>
        <w:ind w:left="1800" w:hanging="360"/>
      </w:pPr>
      <w:rPr>
        <w:sz w:val="24"/>
        <w:szCs w:val="24"/>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sz w:val="24"/>
        <w:szCs w:val="24"/>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Times New Roman" w:cs="Times New Roman" w:eastAsia="Times New Roman" w:hAnsi="Times New Roman"/>
        <w:b w:val="0"/>
        <w:sz w:val="22"/>
        <w:szCs w:val="22"/>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bullet"/>
      <w:lvlText w:val="●"/>
      <w:lvlJc w:val="left"/>
      <w:pPr>
        <w:ind w:left="720" w:hanging="294.80314960629914"/>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52.0" w:type="dxa"/>
        <w:bottom w:w="57.0" w:type="dxa"/>
        <w:right w:w="0.0" w:type="dxa"/>
      </w:tblCellMar>
    </w:tblPr>
  </w:style>
  <w:style w:type="table" w:styleId="Table2">
    <w:basedOn w:val="TableNormal"/>
    <w:tblPr>
      <w:tblStyleRowBandSize w:val="1"/>
      <w:tblStyleColBandSize w:val="1"/>
      <w:tblCellMar>
        <w:top w:w="57.0" w:type="dxa"/>
        <w:left w:w="52.0" w:type="dxa"/>
        <w:bottom w:w="57.0" w:type="dxa"/>
        <w:right w:w="57.0" w:type="dxa"/>
      </w:tblCellMar>
    </w:tblPr>
  </w:style>
  <w:style w:type="table" w:styleId="Table3">
    <w:basedOn w:val="TableNormal"/>
    <w:tblPr>
      <w:tblStyleRowBandSize w:val="1"/>
      <w:tblStyleColBandSize w:val="1"/>
      <w:tblCellMar>
        <w:top w:w="57.0" w:type="dxa"/>
        <w:left w:w="49.0" w:type="dxa"/>
        <w:bottom w:w="57.0" w:type="dxa"/>
        <w:right w:w="0.0" w:type="dxa"/>
      </w:tblCellMar>
    </w:tblPr>
  </w:style>
  <w:style w:type="table" w:styleId="Table4">
    <w:basedOn w:val="TableNormal"/>
    <w:tblPr>
      <w:tblStyleRowBandSize w:val="1"/>
      <w:tblStyleColBandSize w:val="1"/>
      <w:tblCellMar>
        <w:top w:w="57.0" w:type="dxa"/>
        <w:left w:w="52.0" w:type="dxa"/>
        <w:bottom w:w="57.0" w:type="dxa"/>
        <w:right w:w="57.0" w:type="dxa"/>
      </w:tblCellMar>
    </w:tblPr>
  </w:style>
  <w:style w:type="table" w:styleId="Table5">
    <w:basedOn w:val="TableNormal"/>
    <w:tblPr>
      <w:tblStyleRowBandSize w:val="1"/>
      <w:tblStyleColBandSize w:val="1"/>
      <w:tblCellMar>
        <w:top w:w="57.0" w:type="dxa"/>
        <w:left w:w="52.0" w:type="dxa"/>
        <w:bottom w:w="57.0" w:type="dxa"/>
        <w:right w:w="57.0" w:type="dxa"/>
      </w:tblCellMar>
    </w:tblPr>
  </w:style>
  <w:style w:type="table" w:styleId="Table6">
    <w:basedOn w:val="TableNormal"/>
    <w:tblPr>
      <w:tblStyleRowBandSize w:val="1"/>
      <w:tblStyleColBandSize w:val="1"/>
      <w:tblCellMar>
        <w:top w:w="57.0" w:type="dxa"/>
        <w:left w:w="52.0" w:type="dxa"/>
        <w:bottom w:w="57.0" w:type="dxa"/>
        <w:right w:w="57.0" w:type="dxa"/>
      </w:tblCellMar>
    </w:tblPr>
  </w:style>
  <w:style w:type="table" w:styleId="Table7">
    <w:basedOn w:val="TableNormal"/>
    <w:tblPr>
      <w:tblStyleRowBandSize w:val="1"/>
      <w:tblStyleColBandSize w:val="1"/>
      <w:tblCellMar>
        <w:top w:w="57.0" w:type="dxa"/>
        <w:left w:w="49.0" w:type="dxa"/>
        <w:bottom w:w="57.0" w:type="dxa"/>
        <w:right w:w="57.0" w:type="dxa"/>
      </w:tblCellMar>
    </w:tblPr>
  </w:style>
  <w:style w:type="table" w:styleId="Table8">
    <w:basedOn w:val="TableNormal"/>
    <w:tblPr>
      <w:tblStyleRowBandSize w:val="1"/>
      <w:tblStyleColBandSize w:val="1"/>
      <w:tblCellMar>
        <w:top w:w="57.0" w:type="dxa"/>
        <w:left w:w="49.0" w:type="dxa"/>
        <w:bottom w:w="57.0" w:type="dxa"/>
        <w:right w:w="5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footer" Target="footer4.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5" Type="http://schemas.openxmlformats.org/officeDocument/2006/relationships/header" Target="header3.xml"/><Relationship Id="rId14"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5.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